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1472" w14:textId="0ac1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28 маусымдағы № 387 қаулысы. Күші жойылды - Қазақстан Республикасы Үкіметінің 2024 жылғы 31 желтоқсандағы № 1146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"China Railway Asia-Europe Construction Investment Co., Ltd" Қытай компаниялары консорциумы көшбасшысының "Beijing State – Owned Assets Management Co., Ltd" компаниясын "Integra Construction KZ" жауапкершілігі шектеулі серіктестігіне ауыстыру жөніндегі бастамасын назарға ала отырып,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607-құжат)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8-тармақпен толықтырылсын:</w:t>
      </w:r>
    </w:p>
    <w:bookmarkEnd w:id="3"/>
    <w:bookmarkStart w:name="z5" w:id="4"/>
    <w:p>
      <w:pPr>
        <w:spacing w:after="0"/>
        <w:ind w:left="0"/>
        <w:jc w:val="both"/>
      </w:pPr>
      <w:r>
        <w:rPr>
          <w:rFonts w:ascii="Times New Roman"/>
          <w:b w:val="false"/>
          <w:i w:val="false"/>
          <w:color w:val="000000"/>
          <w:sz w:val="28"/>
        </w:rPr>
        <w:t>
      "8. 2015 жылғы 31 тамызда жасалған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жөніндегі негіздемелік келісімге сәйкес "Астана LRT" жауапкершілігі шектеулі серіктестігі "Астана қаласының жаңа көлік жүйесі. LRT (әуежайдан жаңа теміржол вокзалына дейінгі учаске)" жобасын іске асыру аясында сатып алатын тауарлар, жұмыстар және көрсетілетін қызметтер.".</w:t>
      </w:r>
    </w:p>
    <w:bookmarkEnd w:id="4"/>
    <w:bookmarkStart w:name="z6" w:id="5"/>
    <w:p>
      <w:pPr>
        <w:spacing w:after="0"/>
        <w:ind w:left="0"/>
        <w:jc w:val="both"/>
      </w:pPr>
      <w:r>
        <w:rPr>
          <w:rFonts w:ascii="Times New Roman"/>
          <w:b w:val="false"/>
          <w:i w:val="false"/>
          <w:color w:val="000000"/>
          <w:sz w:val="28"/>
        </w:rPr>
        <w:t>
      2. Астана қаласының әкімдігі Қазақстан Республикасының заңнамасында белгіленген тәртіппен осы қаулыдан туындайтын шараларды қабылдасын.</w:t>
      </w:r>
    </w:p>
    <w:bookmarkEnd w:id="5"/>
    <w:bookmarkStart w:name="z7" w:id="6"/>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