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acf" w14:textId="c15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қазандағы № 692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"2018 –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"ҚДБ-Лизинг" акционерлік қоғамы арқылы жолаушылар вагондары паркін жаңартуды қаржыландыру үшін "Қазақстан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Инвестициялар және даму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(келісім бойынша) тоқсан сайын, есептік кезеңнен кейінгі айдың 10-күнінен кешіктірмей Қазақстан Республикасының Қаржы, Инвестициялар және даму министрліктеріне бюджеттік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"ҚДБ-Лизинг" акционерлік қоғамы арқылы жолаушылар вагондары паркін жаңартуды қаржыландыру үшін  "Қазақстан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мөлшері 219 "ҚДБ-Лизинг" АҚ арқылы жолаушылар вагондары паркін жаңартуын қаржыландыру үшін "Қазақстан Даму Банкі" АҚ-ға кейіннен кредит бере отырып, "Бәйтерек" ұлттық басқарушы холдингі" АҚ кредит беру" бюджеттік бағдарламасы бойынша "2018 –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12 537 182 000 (он екі миллиард бес жүз отыз жеті миллион бір жүз сексен екі мың) теңгені құрайды;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20 (жиырма) жыл мерзімге жылдық 0,05 %-ға тең сыйақы мөлшерлемесі бойынша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 бөлу қарыз алушының шотына кредиттің бүкіл сомасын біржолғы аудару жолымен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күннен бастап 2 (екі) жылды құрайды;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1 (бір) рет жүзеге асырылады (есептелген сыйақының алғашқы төлемі қарыз алушының шотына кредит қаражаты аударылған күннен бастап 1 (бір) жыл өткен соң жүргізіледі);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6 (алты) жылды құрайтын жеңілдік кезеңі өткеннен кейін 2024 жылдан бастап тең үлестермен жүзеге асырады;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 берудің мақсаты қарыз алушының "Жолаушылар тасымалы" акционерлік қоғамының жолаушылар вагондары паркін жаңартуды қаржыландыру үшін 20 (жиырма) жыл мерзімге жылдық 0,1 % сыйақы мөлшерлемесімен "ҚДБ-Лизинг" акционерлік қоғамына кейіннен кредит беру үшін жылдық 0,08 % сыйақы мөлшерлемесімен "Қазақстан даму банкі" акционерлік қоғамына кейіннен кредит беру болып табылады.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бюджеттік заңнамасына сәйкес кредиттік шартта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