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d6ee" w14:textId="319d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және ұлттық қауіпсіздік саласындағы ғылыми зерттеулерді гранттық және бағдарламалық-нысаналы қаржыландыру шеңберінде республикалық мемлекеттік мекемелердің ғылыми және (немесе) ғылыми-техникалық қызметін қаржыландыратын заңды тұлғаны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қарашадағы № 779 қаулысы.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қолданыста болу мерзімі - 31.12.2018 дейін (қаулының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Қорғаныс және ұлттық қауіпсіздік саласындағы ғылыми зерттеулерді гранттық және бағдарламалық-нысаналы қаржыландыру шеңберінде республикалық мемлекеттік мекемелердің ғылыми және (немесе) ғылыми-техникалық қызметін қаржыландыратын заңды тұлға ретінде "Ғылым қоры" акционерлік қоғамы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ғылым, Қорғаныс министрліктері, Ұлттық қауіпсіздік комитеті (келісім бойынша) қорғаныс және ұлттық қауіпсіздік саласындағы ғылыми зерттеулерді қаржыландыруға бөлінген бюджет қаражатының мақсатты және тиімді пайдаланылуын бақылауды қамтамасыз етсін.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және 2018 жылғы 31 желтоқсанға дейін қолданыста болады.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