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797f" w14:textId="6317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12 наурыздағы № 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w:t>
      </w:r>
    </w:p>
    <w:p>
      <w:pPr>
        <w:spacing w:after="0"/>
        <w:ind w:left="0"/>
        <w:jc w:val="both"/>
      </w:pPr>
      <w:r>
        <w:rPr>
          <w:rFonts w:ascii="Times New Roman"/>
          <w:b w:val="false"/>
          <w:i w:val="false"/>
          <w:color w:val="000000"/>
          <w:sz w:val="28"/>
        </w:rPr>
        <w:t xml:space="preserve">
      2017 жылғы 11 қазанда Сочиде жасалған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хаттаманың (бұдан әрі - Хаттама) 5-бабының 1-тармағына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Қазақстан Республикасының Бас прокуратурасы - қылмыстық істі беру кезінде заттай дәлелдемелер бойынша;</w:t>
      </w:r>
    </w:p>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p>
      <w:pPr>
        <w:spacing w:after="0"/>
        <w:ind w:left="0"/>
        <w:jc w:val="both"/>
      </w:pPr>
      <w:r>
        <w:rPr>
          <w:rFonts w:ascii="Times New Roman"/>
          <w:b w:val="false"/>
          <w:i w:val="false"/>
          <w:color w:val="000000"/>
          <w:sz w:val="28"/>
        </w:rPr>
        <w:t>
      2.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