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d437" w14:textId="ad9d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22 қазандағы № 779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өзгерістер енгізу туралы хаттаманы ратификациялау туралы</w:t>
      </w:r>
    </w:p>
    <w:bookmarkEnd w:id="0"/>
    <w:p>
      <w:pPr>
        <w:spacing w:after="0"/>
        <w:ind w:left="0"/>
        <w:jc w:val="both"/>
      </w:pPr>
      <w:r>
        <w:rPr>
          <w:rFonts w:ascii="Times New Roman"/>
          <w:b w:val="false"/>
          <w:i w:val="false"/>
          <w:color w:val="000000"/>
          <w:sz w:val="28"/>
        </w:rPr>
        <w:t xml:space="preserve">
      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өзгерістер енгізу туралы 2019 жылғы 12 шілдеде Бішкекте жасалған хаттама ратификациялансын.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