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8d1b" w14:textId="9bc8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мүлкін сенімгерлік басқаруға беру қағидаларын бекіту туралы" Қазақстан Республикасы Үкіметінің 2015 жылғы 30 желтоқсандағы № 1126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29 қаңтардағы № 18 қаулысы. Күші жойылды - Қазақстан Республикасы Үкіметінің 2023 жылғы 16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16.06.2023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қызметшілердің мүлкін сенімгерлік басқаруға беру қағидаларын бекіту туралы" Қазақстан Республикасы Үкіметінің 2015 жылғы 30 желтоқсандағы № 1126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75-76, 569-құжат)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мүлкін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"Осы Мемлекеттік қызметшілердің мүлкін сенімгерлік басқаруға беру қағидалары (бұдан әрі – Қағидалар) 1995 жылғы 30 тамыздағы Қазақстан Республикасының Конституциясына, 1999 жылғы 1 шілдедегі Қазақстан Республикасының Азаматтық кодексіне (ерекше бөлім), "Қазақстан Республикасының мемлекеттік қызметі туралы" 2015 жылғы 23 қарашадағы Қазақстан Республикасының Заңына және Қазақстан Республикасының өзге де нормативтік құқықтық актілеріне сәйкес әзірленді және мемлекеттік қызметшілердің мүлкін сенімгерлік басқаруға беру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Мемлекеттiк қызметшi лауазымға кiрiскен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қызметтi атқару уақытында сенімгерлік басқаруға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Тараптардың біреуі мүлікті сенімгерлік басқару шартын бұзған жағдайда, мемлекеттік қызметші бұл туралы жұмыс орнындағы персоналды басқару қызметін (кадр қызметін) күнтізбелік отыз күн ішінде хабардар етеді, ал сенімгерлік басқаруға беруге жататын мүлік шарт бұзылғаннан кейін күнтізбелік отыз күн ішінде осы Қағидаларда белгіленген тәртіппен шарттың нотариат куәландырған көшірмесін жұмыс орнындағы персоналды басқару қызметіне (кадр қызметіне) бере отырып, қайтадан сенімгерлік басқаруға беріледі.".</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