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a4d6" w14:textId="840a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табыс салығы мен әлеуметтік төлемдер түрінде бірыңғай жиынтық төлемді төлеу, бөлу және аудару, сондай-ақ оларды қайтару қағидаларын бекіту туралы" Қазақстан Республикасы Үкіметінің 2019 жылғы 18 қаңтардағы № 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23 маусымдағы № 383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табыс салығы мен әлеуметтік төлемдер түрінде бірыңғай жиынтық төлемді төлеу, бөлу және аудару, сондай-ақ оларды қайтару қағидаларын бекіту туралы" Қазақстан Республикасы Үкіметінің 2019 жылғы 18 қаңтардағы № 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1, 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 табыс салығы мен әлеуметтік төлемдер түрінде бірыңғай жиынтық төлемді төлеу, бөлу және аудару, сондай-ақ оларды қайтару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бірыңғай жиынтық төлемді төлеушілер (бұдан әрі – төлеушілер) –кәсіпкерлік қызметті дара кәсіпкер ретінде тіркеусіз жүзеге асыратын, Кодекстің 774-бабында белгіленген шарттарға сәйкес келетін жеке тұлғалар;";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"7) 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тармақша </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"10) "Жеке тұлғалар" мемлекеттік дерекқоры (бұдан әрі – ЖТ МДҚ) – Қазақстан Республикасы Әділет министрлігінің жеке тұлғалар туралы ақпаратты тіркеу мен сақтаудың азаматтық халді сәйкестендіру және анықтау үшін жеткілікті бірыңғай жүйесі.";</w:t>
      </w:r>
    </w:p>
    <w:bookmarkEnd w:id="6"/>
    <w:bookmarkStart w:name="z13"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4" w:id="8"/>
    <w:p>
      <w:pPr>
        <w:spacing w:after="0"/>
        <w:ind w:left="0"/>
        <w:jc w:val="both"/>
      </w:pPr>
      <w:r>
        <w:rPr>
          <w:rFonts w:ascii="Times New Roman"/>
          <w:b w:val="false"/>
          <w:i w:val="false"/>
          <w:color w:val="000000"/>
          <w:sz w:val="28"/>
        </w:rPr>
        <w:t>
      "1) төлеушi қайтаруды талап ететiн сома төлеушiнің тұрақты тiркелген жері бойынша тиiстi бюджетке, МӘСҚ, ӘлМСҚ мен БЖЗҚ-ға аударылған сомаға сәйкес келмеген;".</w:t>
      </w:r>
    </w:p>
    <w:bookmarkEnd w:id="8"/>
    <w:bookmarkStart w:name="z15"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