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bccf" w14:textId="04db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2021 жылға арналған жоспары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2020 жылғы 20 желтоқсандағы № 866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"Байқоңыр" ғарыш айлағынан ғарыш аппараттарын ұшырудың 2021 жылға арналған жоспары бойынша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2020 жылғы 30 желтоқсанға дейін қорытындыны дипломатиялық арналар арқылы Ресей тарапына жіберсін.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желтоқсандағы</w:t>
            </w:r>
            <w:r>
              <w:br/>
            </w:r>
            <w:r>
              <w:rPr>
                <w:rFonts w:ascii="Times New Roman"/>
                <w:b w:val="false"/>
                <w:i w:val="false"/>
                <w:color w:val="000000"/>
                <w:sz w:val="20"/>
              </w:rPr>
              <w:t>№ 866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"Байқоңыр" ғарыш айлағынан ғарыш аппараттарын ұшырудың 2021 жылға арналған жоспары бойынша қорытынды</w:t>
      </w:r>
    </w:p>
    <w:bookmarkEnd w:id="4"/>
    <w:bookmarkStart w:name="z7" w:id="5"/>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Сыртқы істер министрлігінің 2020 жылғы 18 қарашадағы № 22458/3дснг нотасы) 2016 - 2025 жылдарға арналған Ресейдің Федералдық ғарыштық бағдарламасы, халықаралық ынтымақтастық бағдарламалары мен коммерциялық жобалар шеңберінде "Байқоңыр" ғарыш айлағынан ғарыш аппараттарын ұшырудың 2021 жылға арналған жоспарын келіседі.</w:t>
      </w:r>
    </w:p>
    <w:bookmarkEnd w:id="5"/>
    <w:bookmarkStart w:name="z8" w:id="6"/>
    <w:p>
      <w:pPr>
        <w:spacing w:after="0"/>
        <w:ind w:left="0"/>
        <w:jc w:val="both"/>
      </w:pPr>
      <w:r>
        <w:rPr>
          <w:rFonts w:ascii="Times New Roman"/>
          <w:b w:val="false"/>
          <w:i w:val="false"/>
          <w:color w:val="000000"/>
          <w:sz w:val="28"/>
        </w:rPr>
        <w:t>
      Бұл ретте пайдаланылуы Қазақстан Республикасы мен Ресей Федерациясы арасындағы халықаралық шарттармен реттелмеген Қостанай және Ақтөбе облыстарының аумақтарында "Союз-2" тасымалдағыш зымырандарынан бөлінетін бөліктердің жаңа құлау аудандарын пайдалануды көздейтін ғарыш аппараттарын ұшыру тиісті халықаралық шарттарға қол қойылып, олар күшіне енгеннен кейін жүзеге асырылуы мүмкін.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