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cc4b" w14:textId="55ec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29 желтоқсандағы № 915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59, 834-құжат)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"7) оңалтуды басқарушы – "Оңалту және банкроттық туралы" 2014 жылғы 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оңалту рәсiмi кезеңiнде борышкерді басқару жөнiндегі өкiлеттiктер жүктелген тұлға;".</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