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349c" w14:textId="fd73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30 наурыздағы № 184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29-30, 161-құжат)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Республикасының Үкіметі айқындаған тізбелер (бұдан әрі – тізбе)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(бұдан әрі – Ұлттық қор) түсетін түсімдердің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Қазақстан Республикасы Үкіметінің 2020 жылғы 29 желтоқсандағы № 908 қаулысымен бекітілген Жекешелендірудің 2021 − 2025 жылдарға арналған кешенді жоспарында (бұдан әрі – Жекешелендірудің 2021 − 2025 жылдарға арналған кешенді жоспары) көзделген "Самұрық-Қазына" ұлттық әл-ауқат қоры" акционерлік қоғамы (бұдан әрі – Қор) тобының активтерін бәсекелес ортаға беруден түсетін түсімдердің 50 % (елу) пайыз мөлшеріндегі қаражат Ұлттық қорға аударылады, 50 % (елу) пайызы мөлшеріндегі қалған сома Қор басқармасы айқындайтын тәртіппен оларды одан әрі қайта инвестициялау мақсаттары үшін Қор тобының иелігінде қалады. </w:t>
      </w:r>
    </w:p>
    <w:bookmarkEnd w:id="4"/>
    <w:bookmarkStart w:name="z8" w:id="5"/>
    <w:p>
      <w:pPr>
        <w:spacing w:after="0"/>
        <w:ind w:left="0"/>
        <w:jc w:val="both"/>
      </w:pPr>
      <w:r>
        <w:rPr>
          <w:rFonts w:ascii="Times New Roman"/>
          <w:b w:val="false"/>
          <w:i w:val="false"/>
          <w:color w:val="000000"/>
          <w:sz w:val="28"/>
        </w:rPr>
        <w:t>
      Өткізудің, қайта ұйымдастырудың, таратудың мерзімдерін, тәсілдерін, сондай-ақ өзге де шарттарын Қор басқармасы айқындайтын Қордың еншілес, тәуелді ұйымдарын және онымен үлестес болып табылатын өзге де заңды тұлғаларды сатудан түсетін қаражат Ұлттық қорға аударылуға жатпайды және толық көлемде Қор тобының иелігінде қалады.</w:t>
      </w:r>
    </w:p>
    <w:bookmarkEnd w:id="5"/>
    <w:bookmarkStart w:name="z9" w:id="6"/>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комиссиясының шешіміне сәйкес ішкі борышты өтеу үшін қажетті сомаға түзетіледі.";</w:t>
      </w:r>
    </w:p>
    <w:bookmarkEnd w:id="6"/>
    <w:bookmarkStart w:name="z10"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11" w:id="8"/>
    <w:p>
      <w:pPr>
        <w:spacing w:after="0"/>
        <w:ind w:left="0"/>
        <w:jc w:val="both"/>
      </w:pPr>
      <w:r>
        <w:rPr>
          <w:rFonts w:ascii="Times New Roman"/>
          <w:b w:val="false"/>
          <w:i w:val="false"/>
          <w:color w:val="000000"/>
          <w:sz w:val="28"/>
        </w:rPr>
        <w:t>
      "5-1. Жекешелендірудің 2021 - 2025 жылдарға арналған кешенді жоспарында көзделген активтерді бәсекелес ортаға беруден түскен, ұлттық басқарушы холдингтер, ұлттық холдингтер, ұлттық компаниялар және олардың еншілес, тәуелді және олармен үлестес болып табылатын өзге де заңды тұлғалар Ұлттық қорға жіберетін қаражат сатушының шотына қаражат түскен күннен бастап күнтізбелік 30 (отыз) күн ішінде аударылады.".</w:t>
      </w:r>
    </w:p>
    <w:bookmarkEnd w:id="8"/>
    <w:bookmarkStart w:name="z12"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