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f459" w14:textId="1b7f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Iс Басқармасының жекелеген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2021 жылғы 20 мамырдағы № 335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 оған "Қазақстан Республикасының Президенті Іс Басқармасының Алматы қаласындағы әкімшілік ғимараттары дирекциясы" шаруашылық жүргізу құқығындағы республикалық мемлекеттік кәсіпорнын қосу жолымен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 Президентінің Іс Басқармасы (келісу бойынша)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Президенті Іс Басқармасының кейбір мәселелері туралы" Қазақстан Республикасы Үкіметінің 2003 жылғы 29 қарашадағы № 1212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реттік нөмірі 7-жол алып тасталсын.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