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2ee7" w14:textId="9242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 Қазақстан Республикасы Үкіметінің 2002 жылғы 10 желтоқсандағы № 1300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22 маусымдағы № 429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Регламенті туралы" Қазақстан Республикасы Үкіметінің 2002 жылғы 10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8-17-тармақпен толықтырылсын:</w:t>
      </w:r>
    </w:p>
    <w:bookmarkEnd w:id="3"/>
    <w:p>
      <w:pPr>
        <w:spacing w:after="0"/>
        <w:ind w:left="0"/>
        <w:jc w:val="both"/>
      </w:pPr>
      <w:r>
        <w:rPr>
          <w:rFonts w:ascii="Times New Roman"/>
          <w:b w:val="false"/>
          <w:i w:val="false"/>
          <w:color w:val="000000"/>
          <w:sz w:val="28"/>
        </w:rPr>
        <w:t>
      "8-17. Тиісті салада мемлекеттік саясатты қалыптастыру және іске асыру және артық құжат айналымын қысқарту жөнінде шоғырландырылған ұсыныстар тұжырымдау мақсатында мемлекеттік органдардың Қазақстан Республикасының Президентімен және Қазақстан Республикасы Президентінің Әкімшілігімен өзара іс-қимылы Қазақстан Республикасының Президенті жанындағы консультативтік-кеңесші органдардың қызметі аясында мерзімді есептер мен баяндамалар және жыл сайын Қазақстан Республикасы Президенті Әкімшілігі Басшысының бұйрығымен бекітілетін мемлекеттік органдардың Мемлекет басшысының атына ақпарат, баяндамалар мен есептер беру кестелері арқылы жүзеге асырылады.</w:t>
      </w:r>
    </w:p>
    <w:bookmarkStart w:name="z5" w:id="4"/>
    <w:p>
      <w:pPr>
        <w:spacing w:after="0"/>
        <w:ind w:left="0"/>
        <w:jc w:val="both"/>
      </w:pPr>
      <w:r>
        <w:rPr>
          <w:rFonts w:ascii="Times New Roman"/>
          <w:b w:val="false"/>
          <w:i w:val="false"/>
          <w:color w:val="000000"/>
          <w:sz w:val="28"/>
        </w:rPr>
        <w:t>
      Осы тармақтың бірінші бөлігінің сақталуы үшін жауапкершілік тиісті салада мемлекеттік саясатты қалыптастыруға және іске асыруға жауапты мемлекеттік органдардың бірінші басшыларына жүктеледі.";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"49. Келісу жүргізілгеннен кейін әзірлеуші мемлекеттік орган келісуші мемлекеттік органдардың бірінші басшыларының (не олардың міндетін атқарушы адамдардың) ЭЦҚ-сымен қолбелгі қою үшін қаулы (өкім) жобасын МОИП арқылы түпкілікті келісуге жіберуді қамтамасыз етеді және келісуші мемлекеттік органдардың бірінші басшысының ЭЦҚ қойылған қорытындыларымен (келіспеушілік хаттамаларымен) және тиісті қосымшаларымен бірге электрондық құжат нысанында МОИП арқылы Кеңсеге енгізеді. Бұл ретте жобаны келісудің түпкілікті мерзімі үш жұмыс күнінен аспауға тиіс. Заң жобалары, Үкімет қорытындыларының жобалары қағаз және электронды түрде Мемлекеттік органдардың электрондық құжат айналымының бірыңғай жүйесі (бұдан әрі – ЭҚАБЖ) арқылы, әзірлеуші мемлекеттік органның бірінші басшысы қағаз және электронды түрде, Әділет министрлігінің, бюджеттік жоспарлау жөніндегі уәкілетті органның және басқа да мүдделі мемлекеттік органдардың бірінші басшылары электронды түрде келіскен Президент актілерінің жобалары МОИП арқылы енгізіледі.".</w:t>
      </w:r>
    </w:p>
    <w:bookmarkStart w:name="z7"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