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9e22" w14:textId="4359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16 шiлдедегi № 493 қаулысы. Күші жойылды - Қазақстан Республикасы Үкіметінің 2023 жылғы 16 тамыздағы № 690 қаулысымен</w:t>
      </w:r>
    </w:p>
    <w:p>
      <w:pPr>
        <w:spacing w:after="0"/>
        <w:ind w:left="0"/>
        <w:jc w:val="both"/>
      </w:pPr>
      <w:r>
        <w:rPr>
          <w:rFonts w:ascii="Times New Roman"/>
          <w:b w:val="false"/>
          <w:i w:val="false"/>
          <w:color w:val="ff0000"/>
          <w:sz w:val="28"/>
        </w:rPr>
        <w:t xml:space="preserve">
      Ескерту. Күші жойылды - ҚР Үкіметінің 16.08.2023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жоғары білімі бар мамандар даярлауға 2021 – 2022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Білім және ғылым министрлігі республикалық бюджеттен қаржыландырылатын білім беру ұйымдарында жоғары және жоғары оқу орнынан кейінгі білімі бар мамандар даярлауға бекітілген мемлекеттік білім беру тапсырысын орналастыру және бөлу жөнінде шаралар қабылдасын.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w:t>
            </w:r>
            <w:r>
              <w:br/>
            </w:r>
            <w:r>
              <w:rPr>
                <w:rFonts w:ascii="Times New Roman"/>
                <w:b w:val="false"/>
                <w:i w:val="false"/>
                <w:color w:val="000000"/>
                <w:sz w:val="20"/>
              </w:rPr>
              <w:t>№ 493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мамандар даярлауға 2021 – 2022 оқу жылына арналған мемлекеттік білім беру тапсырысы</w:t>
      </w:r>
    </w:p>
    <w:bookmarkEnd w:id="5"/>
    <w:bookmarkStart w:name="z9" w:id="6"/>
    <w:p>
      <w:pPr>
        <w:spacing w:after="0"/>
        <w:ind w:left="0"/>
        <w:jc w:val="both"/>
      </w:pPr>
      <w:r>
        <w:rPr>
          <w:rFonts w:ascii="Times New Roman"/>
          <w:b w:val="false"/>
          <w:i w:val="false"/>
          <w:color w:val="000000"/>
          <w:sz w:val="28"/>
        </w:rPr>
        <w:t>
      Бюджеттік бағдарламалар әкімшісі: Қазақстан Республикасы Білім және ғылым министрлігі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саласының коды және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білім беру тапсырысы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шығысы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мәртебесі бар жоғары және (немесе) жоғары оқу орнынан кейінгі білім беру 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жоғары және (немесе) жоғары оқу орнынан кейінгі білім беру ұйымдары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p>
            <w:pPr>
              <w:spacing w:after="20"/>
              <w:ind w:left="20"/>
              <w:jc w:val="both"/>
            </w:pPr>
            <w:r>
              <w:rPr>
                <w:rFonts w:ascii="Times New Roman"/>
                <w:b w:val="false"/>
                <w:i w:val="false"/>
                <w:color w:val="000000"/>
                <w:sz w:val="20"/>
              </w:rPr>
              <w:t>
/16 848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p>
            <w:pPr>
              <w:spacing w:after="20"/>
              <w:ind w:left="20"/>
              <w:jc w:val="both"/>
            </w:pPr>
            <w:r>
              <w:rPr>
                <w:rFonts w:ascii="Times New Roman"/>
                <w:b w:val="false"/>
                <w:i w:val="false"/>
                <w:color w:val="000000"/>
                <w:sz w:val="20"/>
              </w:rPr>
              <w:t>
/15 017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w:t>
            </w:r>
          </w:p>
          <w:p>
            <w:pPr>
              <w:spacing w:after="20"/>
              <w:ind w:left="20"/>
              <w:jc w:val="both"/>
            </w:pPr>
            <w:r>
              <w:rPr>
                <w:rFonts w:ascii="Times New Roman"/>
                <w:b w:val="false"/>
                <w:i w:val="false"/>
                <w:color w:val="000000"/>
                <w:sz w:val="20"/>
              </w:rPr>
              <w:t>
/17 488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p>
            <w:pPr>
              <w:spacing w:after="20"/>
              <w:ind w:left="20"/>
              <w:jc w:val="both"/>
            </w:pPr>
            <w:r>
              <w:rPr>
                <w:rFonts w:ascii="Times New Roman"/>
                <w:b w:val="false"/>
                <w:i w:val="false"/>
                <w:color w:val="000000"/>
                <w:sz w:val="20"/>
              </w:rPr>
              <w:t>
/15 375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p>
            <w:pPr>
              <w:spacing w:after="20"/>
              <w:ind w:left="20"/>
              <w:jc w:val="both"/>
            </w:pPr>
            <w:r>
              <w:rPr>
                <w:rFonts w:ascii="Times New Roman"/>
                <w:b w:val="false"/>
                <w:i w:val="false"/>
                <w:color w:val="000000"/>
                <w:sz w:val="20"/>
              </w:rPr>
              <w:t>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p>
            <w:pPr>
              <w:spacing w:after="20"/>
              <w:ind w:left="20"/>
              <w:jc w:val="both"/>
            </w:pPr>
            <w:r>
              <w:rPr>
                <w:rFonts w:ascii="Times New Roman"/>
                <w:b w:val="false"/>
                <w:i w:val="false"/>
                <w:color w:val="000000"/>
                <w:sz w:val="20"/>
              </w:rPr>
              <w:t>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p>
            <w:pPr>
              <w:spacing w:after="20"/>
              <w:ind w:left="20"/>
              <w:jc w:val="both"/>
            </w:pPr>
            <w:r>
              <w:rPr>
                <w:rFonts w:ascii="Times New Roman"/>
                <w:b w:val="false"/>
                <w:i w:val="false"/>
                <w:color w:val="000000"/>
                <w:sz w:val="20"/>
              </w:rPr>
              <w:t>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p>
            <w:pPr>
              <w:spacing w:after="20"/>
              <w:ind w:left="20"/>
              <w:jc w:val="both"/>
            </w:pPr>
            <w:r>
              <w:rPr>
                <w:rFonts w:ascii="Times New Roman"/>
                <w:b w:val="false"/>
                <w:i w:val="false"/>
                <w:color w:val="000000"/>
                <w:sz w:val="20"/>
              </w:rPr>
              <w:t>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p>
            <w:pPr>
              <w:spacing w:after="20"/>
              <w:ind w:left="20"/>
              <w:jc w:val="both"/>
            </w:pPr>
            <w:r>
              <w:rPr>
                <w:rFonts w:ascii="Times New Roman"/>
                <w:b w:val="false"/>
                <w:i w:val="false"/>
                <w:color w:val="000000"/>
                <w:sz w:val="20"/>
              </w:rPr>
              <w:t>
/13 781,7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p>
            <w:pPr>
              <w:spacing w:after="20"/>
              <w:ind w:left="20"/>
              <w:jc w:val="both"/>
            </w:pPr>
            <w:r>
              <w:rPr>
                <w:rFonts w:ascii="Times New Roman"/>
                <w:b w:val="false"/>
                <w:i w:val="false"/>
                <w:color w:val="000000"/>
                <w:sz w:val="20"/>
              </w:rPr>
              <w:t>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p>
            <w:pPr>
              <w:spacing w:after="20"/>
              <w:ind w:left="20"/>
              <w:jc w:val="both"/>
            </w:pPr>
            <w:r>
              <w:rPr>
                <w:rFonts w:ascii="Times New Roman"/>
                <w:b w:val="false"/>
                <w:i w:val="false"/>
                <w:color w:val="000000"/>
                <w:sz w:val="20"/>
              </w:rPr>
              <w:t>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p>
            <w:pPr>
              <w:spacing w:after="20"/>
              <w:ind w:left="20"/>
              <w:jc w:val="both"/>
            </w:pPr>
            <w:r>
              <w:rPr>
                <w:rFonts w:ascii="Times New Roman"/>
                <w:b w:val="false"/>
                <w:i w:val="false"/>
                <w:color w:val="000000"/>
                <w:sz w:val="20"/>
              </w:rPr>
              <w:t>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p>
            <w:pPr>
              <w:spacing w:after="20"/>
              <w:ind w:left="20"/>
              <w:jc w:val="both"/>
            </w:pPr>
            <w:r>
              <w:rPr>
                <w:rFonts w:ascii="Times New Roman"/>
                <w:b w:val="false"/>
                <w:i w:val="false"/>
                <w:color w:val="000000"/>
                <w:sz w:val="20"/>
              </w:rPr>
              <w:t>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p>
            <w:pPr>
              <w:spacing w:after="20"/>
              <w:ind w:left="20"/>
              <w:jc w:val="both"/>
            </w:pPr>
            <w:r>
              <w:rPr>
                <w:rFonts w:ascii="Times New Roman"/>
                <w:b w:val="false"/>
                <w:i w:val="false"/>
                <w:color w:val="000000"/>
                <w:sz w:val="20"/>
              </w:rPr>
              <w:t>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p>
            <w:pPr>
              <w:spacing w:after="20"/>
              <w:ind w:left="20"/>
              <w:jc w:val="both"/>
            </w:pPr>
            <w:r>
              <w:rPr>
                <w:rFonts w:ascii="Times New Roman"/>
                <w:b w:val="false"/>
                <w:i w:val="false"/>
                <w:color w:val="000000"/>
                <w:sz w:val="20"/>
              </w:rPr>
              <w:t>
/13 782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p>
            <w:pPr>
              <w:spacing w:after="20"/>
              <w:ind w:left="20"/>
              <w:jc w:val="both"/>
            </w:pPr>
            <w:r>
              <w:rPr>
                <w:rFonts w:ascii="Times New Roman"/>
                <w:b w:val="false"/>
                <w:i w:val="false"/>
                <w:color w:val="000000"/>
                <w:sz w:val="20"/>
              </w:rPr>
              <w:t>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p>
            <w:pPr>
              <w:spacing w:after="20"/>
              <w:ind w:left="20"/>
              <w:jc w:val="both"/>
            </w:pPr>
            <w:r>
              <w:rPr>
                <w:rFonts w:ascii="Times New Roman"/>
                <w:b w:val="false"/>
                <w:i w:val="false"/>
                <w:color w:val="000000"/>
                <w:sz w:val="20"/>
              </w:rPr>
              <w:t>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p>
            <w:pPr>
              <w:spacing w:after="20"/>
              <w:ind w:left="20"/>
              <w:jc w:val="both"/>
            </w:pPr>
            <w:r>
              <w:rPr>
                <w:rFonts w:ascii="Times New Roman"/>
                <w:b w:val="false"/>
                <w:i w:val="false"/>
                <w:color w:val="000000"/>
                <w:sz w:val="20"/>
              </w:rPr>
              <w:t>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p>
            <w:pPr>
              <w:spacing w:after="20"/>
              <w:ind w:left="20"/>
              <w:jc w:val="both"/>
            </w:pPr>
            <w:r>
              <w:rPr>
                <w:rFonts w:ascii="Times New Roman"/>
                <w:b w:val="false"/>
                <w:i w:val="false"/>
                <w:color w:val="000000"/>
                <w:sz w:val="20"/>
              </w:rPr>
              <w:t>
/18 043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p>
            <w:pPr>
              <w:spacing w:after="20"/>
              <w:ind w:left="20"/>
              <w:jc w:val="both"/>
            </w:pPr>
            <w:r>
              <w:rPr>
                <w:rFonts w:ascii="Times New Roman"/>
                <w:b w:val="false"/>
                <w:i w:val="false"/>
                <w:color w:val="000000"/>
                <w:sz w:val="20"/>
              </w:rPr>
              <w:t>
/15 930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p>
            <w:pPr>
              <w:spacing w:after="20"/>
              <w:ind w:left="20"/>
              <w:jc w:val="both"/>
            </w:pPr>
            <w:r>
              <w:rPr>
                <w:rFonts w:ascii="Times New Roman"/>
                <w:b w:val="false"/>
                <w:i w:val="false"/>
                <w:color w:val="000000"/>
                <w:sz w:val="20"/>
              </w:rPr>
              <w:t>
/16 848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p>
            <w:pPr>
              <w:spacing w:after="20"/>
              <w:ind w:left="20"/>
              <w:jc w:val="both"/>
            </w:pPr>
            <w:r>
              <w:rPr>
                <w:rFonts w:ascii="Times New Roman"/>
                <w:b w:val="false"/>
                <w:i w:val="false"/>
                <w:color w:val="000000"/>
                <w:sz w:val="20"/>
              </w:rPr>
              <w:t>
/15 017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p>
            <w:pPr>
              <w:spacing w:after="20"/>
              <w:ind w:left="20"/>
              <w:jc w:val="both"/>
            </w:pPr>
            <w:r>
              <w:rPr>
                <w:rFonts w:ascii="Times New Roman"/>
                <w:b w:val="false"/>
                <w:i w:val="false"/>
                <w:color w:val="000000"/>
                <w:sz w:val="20"/>
              </w:rPr>
              <w:t>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p>
            <w:pPr>
              <w:spacing w:after="20"/>
              <w:ind w:left="20"/>
              <w:jc w:val="both"/>
            </w:pPr>
            <w:r>
              <w:rPr>
                <w:rFonts w:ascii="Times New Roman"/>
                <w:b w:val="false"/>
                <w:i w:val="false"/>
                <w:color w:val="000000"/>
                <w:sz w:val="20"/>
              </w:rPr>
              <w:t>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p>
            <w:pPr>
              <w:spacing w:after="20"/>
              <w:ind w:left="20"/>
              <w:jc w:val="both"/>
            </w:pPr>
            <w:r>
              <w:rPr>
                <w:rFonts w:ascii="Times New Roman"/>
                <w:b w:val="false"/>
                <w:i w:val="false"/>
                <w:color w:val="000000"/>
                <w:sz w:val="20"/>
              </w:rPr>
              <w:t>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p>
            <w:pPr>
              <w:spacing w:after="20"/>
              <w:ind w:left="20"/>
              <w:jc w:val="both"/>
            </w:pPr>
            <w:r>
              <w:rPr>
                <w:rFonts w:ascii="Times New Roman"/>
                <w:b w:val="false"/>
                <w:i w:val="false"/>
                <w:color w:val="000000"/>
                <w:sz w:val="20"/>
              </w:rPr>
              <w:t>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p>
            <w:pPr>
              <w:spacing w:after="20"/>
              <w:ind w:left="20"/>
              <w:jc w:val="both"/>
            </w:pPr>
            <w:r>
              <w:rPr>
                <w:rFonts w:ascii="Times New Roman"/>
                <w:b w:val="false"/>
                <w:i w:val="false"/>
                <w:color w:val="000000"/>
                <w:sz w:val="20"/>
              </w:rPr>
              <w:t>
/13 782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p>
            <w:pPr>
              <w:spacing w:after="20"/>
              <w:ind w:left="20"/>
              <w:jc w:val="both"/>
            </w:pPr>
            <w:r>
              <w:rPr>
                <w:rFonts w:ascii="Times New Roman"/>
                <w:b w:val="false"/>
                <w:i w:val="false"/>
                <w:color w:val="000000"/>
                <w:sz w:val="20"/>
              </w:rPr>
              <w:t>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Моңғолия, Түркия Республикасының, түркітілдес басқа да республикалардың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p>
            <w:pPr>
              <w:spacing w:after="20"/>
              <w:ind w:left="20"/>
              <w:jc w:val="both"/>
            </w:pPr>
            <w:r>
              <w:rPr>
                <w:rFonts w:ascii="Times New Roman"/>
                <w:b w:val="false"/>
                <w:i w:val="false"/>
                <w:color w:val="000000"/>
                <w:sz w:val="20"/>
              </w:rPr>
              <w:t>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p>
            <w:pPr>
              <w:spacing w:after="20"/>
              <w:ind w:left="20"/>
              <w:jc w:val="both"/>
            </w:pPr>
            <w:r>
              <w:rPr>
                <w:rFonts w:ascii="Times New Roman"/>
                <w:b w:val="false"/>
                <w:i w:val="false"/>
                <w:color w:val="000000"/>
                <w:sz w:val="20"/>
              </w:rPr>
              <w:t>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p>
            <w:pPr>
              <w:spacing w:after="20"/>
              <w:ind w:left="20"/>
              <w:jc w:val="both"/>
            </w:pPr>
            <w:r>
              <w:rPr>
                <w:rFonts w:ascii="Times New Roman"/>
                <w:b w:val="false"/>
                <w:i w:val="false"/>
                <w:color w:val="000000"/>
                <w:sz w:val="20"/>
              </w:rPr>
              <w:t>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p>
            <w:pPr>
              <w:spacing w:after="20"/>
              <w:ind w:left="20"/>
              <w:jc w:val="both"/>
            </w:pPr>
            <w:r>
              <w:rPr>
                <w:rFonts w:ascii="Times New Roman"/>
                <w:b w:val="false"/>
                <w:i w:val="false"/>
                <w:color w:val="000000"/>
                <w:sz w:val="20"/>
              </w:rPr>
              <w:t>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7"/>
    <w:p>
      <w:pPr>
        <w:spacing w:after="0"/>
        <w:ind w:left="0"/>
        <w:jc w:val="both"/>
      </w:pPr>
      <w:r>
        <w:rPr>
          <w:rFonts w:ascii="Times New Roman"/>
          <w:b w:val="false"/>
          <w:i w:val="false"/>
          <w:color w:val="000000"/>
          <w:sz w:val="28"/>
        </w:rPr>
        <w:t>
      Бюджеттік бағдарламалар әкімшісі: Қазақстан Республикасы Ішкі істер министрлігі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саласының коды және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Даярлау бағыттарының коды және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Күндізгі оқуға мемлекеттік білім беру тапсырысы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Жылына 1 курсантты оқытуға жұмсалатын орташа шығыстар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Қарағанды академиясы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8"/>
    <w:p>
      <w:pPr>
        <w:spacing w:after="0"/>
        <w:ind w:left="0"/>
        <w:jc w:val="both"/>
      </w:pPr>
      <w:r>
        <w:rPr>
          <w:rFonts w:ascii="Times New Roman"/>
          <w:b w:val="false"/>
          <w:i w:val="false"/>
          <w:color w:val="000000"/>
          <w:sz w:val="28"/>
        </w:rPr>
        <w:t>
      Бюджеттік бағдарламалар әкімшісі: Қазақстан Республикасы Төтенше жағдайлар министрлігі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саласының коды және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Даярлау бағыттарының коды және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Күндізгі оқуға мемлекеттік білім беру тапсырысы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Жылына 1 курсантты оқытуға жұмсалатын орташа шығыстар (мың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Төтенше жағдайлар министрлігінің Мәлік Ғабдуллин атындағы Азаматтық қорғау академиясы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6B123 Қоғамдық қауіпсіздік </w:t>
            </w:r>
          </w:p>
          <w:p>
            <w:pPr>
              <w:spacing w:after="20"/>
              <w:ind w:left="20"/>
              <w:jc w:val="both"/>
            </w:pPr>
            <w:r>
              <w:rPr>
                <w:rFonts w:ascii="Times New Roman"/>
                <w:b w:val="false"/>
                <w:i w:val="false"/>
                <w:color w:val="000000"/>
                <w:sz w:val="20"/>
              </w:rPr>
              <w:t>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6B123 Қоғамдық қауіпсіздік </w:t>
            </w:r>
          </w:p>
          <w:p>
            <w:pPr>
              <w:spacing w:after="20"/>
              <w:ind w:left="20"/>
              <w:jc w:val="both"/>
            </w:pPr>
            <w:r>
              <w:rPr>
                <w:rFonts w:ascii="Times New Roman"/>
                <w:b w:val="false"/>
                <w:i w:val="false"/>
                <w:color w:val="000000"/>
                <w:sz w:val="20"/>
              </w:rPr>
              <w:t>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Бюджеттік бағдарламалар әкімшісі: Қазақстан Республикасы Мәдениет және спорт министрлігі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саласының коды және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Даярлау бағыттарының коды және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Күндізгі оқуға мемлекеттік білім беру тапсырысы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Жылына 1 студентті оқытуға жұмсалатын орташа шығыстар (мың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0"/>
    <w:p>
      <w:pPr>
        <w:spacing w:after="0"/>
        <w:ind w:left="0"/>
        <w:jc w:val="both"/>
      </w:pPr>
      <w:r>
        <w:rPr>
          <w:rFonts w:ascii="Times New Roman"/>
          <w:b w:val="false"/>
          <w:i w:val="false"/>
          <w:color w:val="000000"/>
          <w:sz w:val="28"/>
        </w:rPr>
        <w:t>
      Бюджеттік бағдарламалар әкімшісі: Қазақстан Республикасы Денсаулық сақтау министрлігі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саласының коды және сыныпталуы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Даярлау бағыттарының коды және сыныпталуы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білім беру тапсырысы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жылында 1 студентті оқытуға жұмсалатын орташа шығыстар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мәртебесі бар жоғары және (немесе) жоғары оқу орнынан кейінгі білім беру ұйымдары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жоғары және (немесе) жоғары оқу орнынан кейінгі білім беру ұйымдары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