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dda" w14:textId="7813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9 тамыздағы № 543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2"/>
    <w:bookmarkStart w:name="z4" w:id="3"/>
    <w:p>
      <w:pPr>
        <w:spacing w:after="0"/>
        <w:ind w:left="0"/>
        <w:jc w:val="both"/>
      </w:pPr>
      <w:r>
        <w:rPr>
          <w:rFonts w:ascii="Times New Roman"/>
          <w:b w:val="false"/>
          <w:i w:val="false"/>
          <w:color w:val="000000"/>
          <w:sz w:val="28"/>
        </w:rPr>
        <w:t>
      "3-1. Акцияларының жүз пайызы республикалық меншіктегі "Бәйтерек" ұлттық басқарушы холдингі" акционерлік қоғамы 2020 жылдың қорытындылары бойынша шоғырландырылған жылдық қаржылық есептілікте көрсетілген таза кірісінің 14,2 (он төрт бүтін оннан екі) пайызын акциялардың мемлекеттік пакетіне дивидендтер төлеуге жұмсайды.".</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