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b974" w14:textId="2a1b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"COVID-19 коронавирусына қарсы вакциналарды уақытша мемлекеттік тіркеу қағидаларын бекіту туралы" Қазақстан Республикасы Үкіметінің 2020 жылғы 15 желтоқсандағы № 850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23 қыркүйектегі № 668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"COVID-19 коронавирусына қарсы вакциналарды уақытша мемлекеттік тіркеу қағидаларын бекіту туралы" Қазақстан Республикасы Үкіметінің 2020 жылғы 15 желтоқсандағы № 850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COVID-19 коронавирусына қарсы вакциналарды уақытша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Қазақстан Республикасының өндірушілеріне вакциналарды уақытша мемлекеттік тіркеу үшін ұсынылатын құжаттардың тізбесі осы қаулыға қосымшаға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23 қыркүйектегі</w:t>
            </w:r>
            <w:r>
              <w:br/>
            </w:r>
            <w:r>
              <w:rPr>
                <w:rFonts w:ascii="Times New Roman"/>
                <w:b w:val="false"/>
                <w:i w:val="false"/>
                <w:color w:val="000000"/>
                <w:sz w:val="20"/>
              </w:rPr>
              <w:t>№ 668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Қазақстан Республикасының өндірушілері вакциналарды уақытша мемлекеттік тіркеу үшін ұсынатын құжаттардың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Жалпы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шығарылса – нотариат куәландырған GMP сертификаты (бар болса). Өндірістік және технологиялық процестердің толық циклын немесе бір бөлігін тасымалдау (трансфер) негізінде шығарылса – нотариат куәландырған GMP сертификаты.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көшірмесі (нотариат куәландырған)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процеске бірнеше өндіруші қатысса, ІА2, ІА3, ІА4 тармақтарының құжаттары өндірістің барлық қатысушыларына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құқығына лицензиялық шарт (келісім) (түпнұсқа препаратқа патенттің қолданылу мерзімі өткенге дейін)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өнертабысына немесе пайдалы моделіне қорғау құжатының (қорғау құжатының патент иеленушісі береді), тауар белгісіне қорғау құжатының нотариат куәландырған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сериясы тіркеуге берілген дәрілік зат үлгісінің сериясымен сәйкес келетін үш өнеркәсіптік серияның дайын өнімінің сапасын растайтын құжат (талдау сертификаты, талдау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жануарлардан алынатын заттарға прион қауіпсіздігі туралы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қаптамаларға, стикерлерге, заттаңбаларға арналған қазақ және орыс тілдеріндегі таңбалау мәтіні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сапалық және сандық құрамы (белсенді, қосалқы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қаптау және тығындау материалдарының сапасын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 (БФС, қосымша заттардың сипаттамасы, дәрілік препаратты әзірлеу, өндірістік процесті әзірлеу, компоненттердің үйлесімділігі, артығы, тұрақтылығы, микробиологиялық тазалығы)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сериялы белсенді заттың сапасын растайтын құжат (өндірушіден субстанцияны талдау сертификаты, талдау хаттамасы, аналитикалық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арналған сапа сертификаттары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материалы (бастапқы және екінші қаптама)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регламенттейтін құжаттармен қоса буып-түю материалының сапа сертификаттары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өнімдердің сапасын бақылау әдістері (қажет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 ерекшелігі және бақылау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жөніндегі өндірушінің электрондық түрдегі "pdf" және (немесе) "(doc)" форматындағы нормативтік құжаты, оған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сынау әдістемелерінің валидациясы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(үш) ай мерзімде тұрақтылықты сынау нәтижелері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бақылау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растайтын қосымша ақпарат (қажет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(жіті және созылмалы), (медициналық иммунобиологиялық препарат – бір рет енгізгенде және қайталама дозаларды енгізгенде уыттылығы)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функцияға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Эмбриоуыттылық және тератогендік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Канцерогенділігі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гендік-биологиялық препараттар үшін – реактогенділікті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иммунобиологиялық препараттар үшін-спецификалық белсенділік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тітіркендіргіш әсері туралы деректер (медициналық иммунобиологиялық препараттар үшін-иммуногенділікті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(фармакодинамика, фармакокинетика)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тәжірибенің деректері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растайтын қосымша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процестердің толық циклын немесе бір бөлігін тасымалдау (трансфер) негізінде өндірген кезде тіркеу құжаттамасына қосымша мынадай құжаттар ұсынылады:</w:t>
            </w:r>
          </w:p>
          <w:p>
            <w:pPr>
              <w:spacing w:after="20"/>
              <w:ind w:left="20"/>
              <w:jc w:val="both"/>
            </w:pPr>
            <w:r>
              <w:rPr>
                <w:rFonts w:ascii="Times New Roman"/>
                <w:b w:val="false"/>
                <w:i w:val="false"/>
                <w:color w:val="000000"/>
                <w:sz w:val="20"/>
              </w:rPr>
              <w:t>
1) Қазақстан Республикасындағы өндіруші және шетелдік өндіруші арасындағы өндірістік және технологиялық процестерді тасымалдау туралы шарт;</w:t>
            </w:r>
          </w:p>
          <w:p>
            <w:pPr>
              <w:spacing w:after="20"/>
              <w:ind w:left="20"/>
              <w:jc w:val="both"/>
            </w:pPr>
            <w:r>
              <w:rPr>
                <w:rFonts w:ascii="Times New Roman"/>
                <w:b w:val="false"/>
                <w:i w:val="false"/>
                <w:color w:val="000000"/>
                <w:sz w:val="20"/>
              </w:rPr>
              <w:t>
2) Қазақстан Республикасының тиісті өндірістік тәжірибесіне (GMP) сәйкес келетін нотариалды куәландырылған GMP сертификатымен (шетелдік өндірушінің соңғы инспекцияның күні мен нәтижелерін көрсете отырып) қоса трансфер жобасының сипаттамасын, трансфер масштабын, негізгі және қосымша алаңдар алған сындарлы параметрлерді, трансфердің түпкілікті қорытындыларын қамтитын жүргізілген трансфер нәтижелері бойынша есеп;</w:t>
            </w:r>
          </w:p>
          <w:p>
            <w:pPr>
              <w:spacing w:after="20"/>
              <w:ind w:left="20"/>
              <w:jc w:val="both"/>
            </w:pPr>
            <w:r>
              <w:rPr>
                <w:rFonts w:ascii="Times New Roman"/>
                <w:b w:val="false"/>
                <w:i w:val="false"/>
                <w:color w:val="000000"/>
                <w:sz w:val="20"/>
              </w:rPr>
              <w:t>
3) Қазақстан Республикасындағы өндірістік алаңдағы өндірістік процестер валидациясының есебі ****;</w:t>
            </w:r>
          </w:p>
          <w:p>
            <w:pPr>
              <w:spacing w:after="20"/>
              <w:ind w:left="20"/>
              <w:jc w:val="both"/>
            </w:pPr>
            <w:r>
              <w:rPr>
                <w:rFonts w:ascii="Times New Roman"/>
                <w:b w:val="false"/>
                <w:i w:val="false"/>
                <w:color w:val="000000"/>
                <w:sz w:val="20"/>
              </w:rPr>
              <w:t>
4) Қазақстан Республикасындағы өндірістік алаңда пайдаланылатын бастапқы шикізаттың (белсенді субстанцияның, қосымша заттардың) сапасы процеске немесе дайын өнімге әсер етпейтінін растайтын құжаттар;</w:t>
            </w:r>
          </w:p>
          <w:p>
            <w:pPr>
              <w:spacing w:after="20"/>
              <w:ind w:left="20"/>
              <w:jc w:val="both"/>
            </w:pPr>
            <w:r>
              <w:rPr>
                <w:rFonts w:ascii="Times New Roman"/>
                <w:b w:val="false"/>
                <w:i w:val="false"/>
                <w:color w:val="000000"/>
                <w:sz w:val="20"/>
              </w:rPr>
              <w:t>
5) шетелдік өндірістің алаңда да, Қазақстан Республикасындағы өндірістік аланда да шығарылатын препараттарының сапасын бақылау бір спецификация бойынша жүзеге асырылатынын растайтын өндірушінің құжаттары;</w:t>
            </w:r>
          </w:p>
          <w:p>
            <w:pPr>
              <w:spacing w:after="20"/>
              <w:ind w:left="20"/>
              <w:jc w:val="both"/>
            </w:pPr>
            <w:r>
              <w:rPr>
                <w:rFonts w:ascii="Times New Roman"/>
                <w:b w:val="false"/>
                <w:i w:val="false"/>
                <w:color w:val="000000"/>
                <w:sz w:val="20"/>
              </w:rPr>
              <w:t>
6) клиникаға дейінгі зерттеулердің есептері;</w:t>
            </w:r>
          </w:p>
          <w:p>
            <w:pPr>
              <w:spacing w:after="20"/>
              <w:ind w:left="20"/>
              <w:jc w:val="both"/>
            </w:pPr>
            <w:r>
              <w:rPr>
                <w:rFonts w:ascii="Times New Roman"/>
                <w:b w:val="false"/>
                <w:i w:val="false"/>
                <w:color w:val="000000"/>
                <w:sz w:val="20"/>
              </w:rPr>
              <w:t>
7) тапсыратын тараптан клиникалық зерттеу хаттамасында көзделген зерттеу субъектілерінің кемінде 50 (елу) %-ын қосып жүргізілген клиникаға дейінгі зерттеулердің, клиникалық зерттеулердің I-II фазаларының есептері және зерттеулердің III фазасының аралық есебі.</w:t>
            </w:r>
          </w:p>
          <w:p>
            <w:pPr>
              <w:spacing w:after="20"/>
              <w:ind w:left="20"/>
              <w:jc w:val="both"/>
            </w:pPr>
            <w:r>
              <w:rPr>
                <w:rFonts w:ascii="Times New Roman"/>
                <w:b w:val="false"/>
                <w:i w:val="false"/>
                <w:color w:val="000000"/>
                <w:sz w:val="20"/>
              </w:rPr>
              <w:t>
Бұл ретте, қабылдаушы тараптан Қазақстан Республикасында клиникаға дейінгі және клиникалық қайта зерттеулер жүргізу талап етілмейді;</w:t>
            </w:r>
          </w:p>
          <w:p>
            <w:pPr>
              <w:spacing w:after="20"/>
              <w:ind w:left="20"/>
              <w:jc w:val="both"/>
            </w:pPr>
            <w:r>
              <w:rPr>
                <w:rFonts w:ascii="Times New Roman"/>
                <w:b w:val="false"/>
                <w:i w:val="false"/>
                <w:color w:val="000000"/>
                <w:sz w:val="20"/>
              </w:rPr>
              <w:t>
8) тапсыратын тараптан дәрілік препараттың серияларын көрсете отырып, тұрақтылықты зерттеу бағдарламасын қамтитын қабылдайтын тарап үшін жеделдетілген тұрақтылықты зерттеу және ұзақ мерзімді тұрақтылықты кемінде 6 (алты) айлық зерттеу нәтижелері;</w:t>
            </w:r>
          </w:p>
          <w:p>
            <w:pPr>
              <w:spacing w:after="20"/>
              <w:ind w:left="20"/>
              <w:jc w:val="both"/>
            </w:pPr>
            <w:r>
              <w:rPr>
                <w:rFonts w:ascii="Times New Roman"/>
                <w:b w:val="false"/>
                <w:i w:val="false"/>
                <w:color w:val="000000"/>
                <w:sz w:val="20"/>
              </w:rPr>
              <w:t>
9) тапсыратын және қабылдайтын тараптардың алаңдарынан тұрақтылық деректерін беру туралы тапсыратын тараптың тіркеуден кейінгі міндеттемелері (тұрақтылықты зерттеу бағдарламасына сәйкес ақпарат беру кезеңділігі).</w:t>
            </w:r>
          </w:p>
          <w:p>
            <w:pPr>
              <w:spacing w:after="20"/>
              <w:ind w:left="20"/>
              <w:jc w:val="both"/>
            </w:pPr>
            <w:r>
              <w:rPr>
                <w:rFonts w:ascii="Times New Roman"/>
                <w:b w:val="false"/>
                <w:i w:val="false"/>
                <w:color w:val="000000"/>
                <w:sz w:val="20"/>
              </w:rPr>
              <w:t>
Өндірістік және технологиялық процестерді толық немесе ішінара тасымалдау (трансфер) кезінде өтініш беруші Қазақстан Республикасындағы өндірістік алаңдағы өндіріс шарттары мен сапаны қамтамасыз ету жүйесінің Қазақстан аумағынан тыс өндіріс шарттарына және өндірістік алаңның сапасын қамтамасыз ету жүйесіне толық сәйкес келуін қамтамасыз етеді.</w:t>
            </w:r>
          </w:p>
        </w:tc>
      </w:tr>
    </w:tbl>
    <w:bookmarkStart w:name="z9" w:id="6"/>
    <w:p>
      <w:pPr>
        <w:spacing w:after="0"/>
        <w:ind w:left="0"/>
        <w:jc w:val="both"/>
      </w:pPr>
      <w:r>
        <w:rPr>
          <w:rFonts w:ascii="Times New Roman"/>
          <w:b w:val="false"/>
          <w:i w:val="false"/>
          <w:color w:val="000000"/>
          <w:sz w:val="28"/>
        </w:rPr>
        <w:t>
      Ескертпе:</w:t>
      </w:r>
    </w:p>
    <w:bookmarkEnd w:id="6"/>
    <w:bookmarkStart w:name="z10" w:id="7"/>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bookmarkEnd w:id="7"/>
    <w:p>
      <w:pPr>
        <w:spacing w:after="0"/>
        <w:ind w:left="0"/>
        <w:jc w:val="both"/>
      </w:pPr>
      <w:r>
        <w:rPr>
          <w:rFonts w:ascii="Times New Roman"/>
          <w:b w:val="false"/>
          <w:i w:val="false"/>
          <w:color w:val="000000"/>
          <w:sz w:val="28"/>
        </w:rPr>
        <w:t xml:space="preserve">
      ** табиғи немесе техногендік сипаттағы төтенше жағдайлар туындаған және олардың салдарларын жою кезінде,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Covid-19-ға қарсы вакцинаны отандық өндіруші тіркеу дерекнамасына өзгерістер енгізу кезінде: </w:t>
      </w:r>
    </w:p>
    <w:bookmarkStart w:name="z11" w:id="8"/>
    <w:p>
      <w:pPr>
        <w:spacing w:after="0"/>
        <w:ind w:left="0"/>
        <w:jc w:val="both"/>
      </w:pPr>
      <w:r>
        <w:rPr>
          <w:rFonts w:ascii="Times New Roman"/>
          <w:b w:val="false"/>
          <w:i w:val="false"/>
          <w:color w:val="000000"/>
          <w:sz w:val="28"/>
        </w:rPr>
        <w:t xml:space="preserve">
      қатарынан 3 (үш) өнеркәсіптік серия шығарылғаннан кейін 1 (бір) айдан кейін Қазақстан Республикасы Денсаулық сақтау министрінің 2020 жылғы 28 қазандағы № ҚР ДСМ-165/2020 бұйрығымен бекітілген (Нормативтік құқықтық актілерді мемлекеттік тіркеу тізілімінде № 21545 болып тіркелген) дәрілік заттардың тұрақтылығына зерттеу жүргізу, сақтау мерзімін белгілеу және қайта бақылау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тәртіппен жүргізілген тұрақтылықты зерттеу нәтижелерін;</w:t>
      </w:r>
    </w:p>
    <w:bookmarkEnd w:id="8"/>
    <w:p>
      <w:pPr>
        <w:spacing w:after="0"/>
        <w:ind w:left="0"/>
        <w:jc w:val="both"/>
      </w:pPr>
      <w:r>
        <w:rPr>
          <w:rFonts w:ascii="Times New Roman"/>
          <w:b w:val="false"/>
          <w:i w:val="false"/>
          <w:color w:val="000000"/>
          <w:sz w:val="28"/>
        </w:rPr>
        <w:t>
      тұрақтылықты зерттеу аяқталғаннан кейін қатарынан 3 (үш) өнеркәсіптік серияда 3 (үш) және 6 (алты) айдан кейін жүргізілген тұрақтылықты зерттеу нәтижелерін беру туралы кепілдік міндеттемені ұсынады;</w:t>
      </w:r>
    </w:p>
    <w:p>
      <w:pPr>
        <w:spacing w:after="0"/>
        <w:ind w:left="0"/>
        <w:jc w:val="both"/>
      </w:pPr>
      <w:r>
        <w:rPr>
          <w:rFonts w:ascii="Times New Roman"/>
          <w:b w:val="false"/>
          <w:i w:val="false"/>
          <w:color w:val="000000"/>
          <w:sz w:val="28"/>
        </w:rPr>
        <w:t>
      *** бекітілген зерттеу хаттамасы, бекітілген зерттеу есебі, мемлекеттік органның зерттеу жүргізуге рұқсаты (бар болса), этикалық комиссияның мақұлдауы, зерттеу субъектісінің өмірі және (немесе)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(биоэквиваленттілік зерттеуді ұсыну кезінде),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p>
      <w:pPr>
        <w:spacing w:after="0"/>
        <w:ind w:left="0"/>
        <w:jc w:val="both"/>
      </w:pPr>
      <w:r>
        <w:rPr>
          <w:rFonts w:ascii="Times New Roman"/>
          <w:b w:val="false"/>
          <w:i w:val="false"/>
          <w:color w:val="000000"/>
          <w:sz w:val="28"/>
        </w:rPr>
        <w:t>
      **** валидация аяқталғаннан кейін 7 (жеті) күн ішінде қатарынан 3 (үш) өнеркәсіптік серияда жүргізілген өндірістік процестердің валидациясы бойынша есепті ұсыну туралы кепілдік міндеттеме.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