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8f35" w14:textId="c758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объектісін ерекше реттеуді және (немесе) қала құрылысы регламентациясын талап ететін объектілерге жатқызу туралы</w:t>
      </w:r>
    </w:p>
    <w:p>
      <w:pPr>
        <w:spacing w:after="0"/>
        <w:ind w:left="0"/>
        <w:jc w:val="both"/>
      </w:pPr>
      <w:r>
        <w:rPr>
          <w:rFonts w:ascii="Times New Roman"/>
          <w:b w:val="false"/>
          <w:i w:val="false"/>
          <w:color w:val="000000"/>
          <w:sz w:val="28"/>
        </w:rPr>
        <w:t>Қазақстан Республикасы Үкіметінің 2021 жылғы 26 қазандағы № 766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6-бабының </w:t>
      </w:r>
      <w:r>
        <w:rPr>
          <w:rFonts w:ascii="Times New Roman"/>
          <w:b w:val="false"/>
          <w:i w:val="false"/>
          <w:color w:val="000000"/>
          <w:sz w:val="28"/>
        </w:rPr>
        <w:t>4-1-тармағына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"Нұр-Сұлтан қаласы, Есіл ауданы, Ұлы Дала және Ш. Айтматов көшелерінің қиылысы ауданы мекенжайы бойынша орналасқан көпфункционалды туристік ауданы" құрылыс объектісі ерекше реттеуді және (немесе) қала құрылысы регламентациясын талап ететін объектілерге жатқызылсын.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 Қазақстан Республикасының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