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6e4c" w14:textId="09c6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 Қазақстан Республикасы Үкіметінің 2014 жылғы 24 ақпандағы № 129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маусымдағы № 395 қаулысы. Күші жойылды - Қазақстан Республикасы Үкіметінің 2023 жылғы 29 тамыздағы № 733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сіңірген жылдарын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(бұдан әрі – Қағидалар) "Қазақстан Республикасында зейнетақымен қамсыздандыру туралы" Қазақстан Республикасы Заңының 66-бабына сәйкес әзірленді және кеден органдарын қоспағанда, әскери қызметшілердің, арнаулы атақтар немесе сыныптық шендер берілген не біліктілік сыныптары белгіленген құқық қорғау және арнаулы мемлекеттік органдардың,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 есептеу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18) тармақшасындағы "қызметі есептеледі." деген сөздер "қызметі;" деген сөздермен ауыстырылып, мынадай мазмұндағы 19) тармақшамен толықтырылсын:</w:t>
      </w:r>
    </w:p>
    <w:bookmarkStart w:name="z13" w:id="9"/>
    <w:p>
      <w:pPr>
        <w:spacing w:after="0"/>
        <w:ind w:left="0"/>
        <w:jc w:val="both"/>
      </w:pPr>
      <w:r>
        <w:rPr>
          <w:rFonts w:ascii="Times New Roman"/>
          <w:b w:val="false"/>
          <w:i w:val="false"/>
          <w:color w:val="000000"/>
          <w:sz w:val="28"/>
        </w:rPr>
        <w:t>
      "19)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қызметі есептеледі.";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1-тармағы мынадай редакцияда жазылсын:</w:t>
      </w:r>
    </w:p>
    <w:bookmarkStart w:name="z15" w:id="10"/>
    <w:p>
      <w:pPr>
        <w:spacing w:after="0"/>
        <w:ind w:left="0"/>
        <w:jc w:val="both"/>
      </w:pPr>
      <w:r>
        <w:rPr>
          <w:rFonts w:ascii="Times New Roman"/>
          <w:b w:val="false"/>
          <w:i w:val="false"/>
          <w:color w:val="000000"/>
          <w:sz w:val="28"/>
        </w:rPr>
        <w:t>
      "4. Әскери қызметшілердің (мерзімді қызмет әскери қызметшілерінен басқа),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(милициясы)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жылдарына жеңілдікті шарттарда мыналар есепке жатқызылады:";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Start w:name="z17" w:id="11"/>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 1-қосымша";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Start w:name="z19" w:id="12"/>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 2-қосымша".</w:t>
      </w:r>
    </w:p>
    <w:bookmarkEnd w:id="12"/>
    <w:bookmarkStart w:name="z20" w:id="13"/>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