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b41d" w14:textId="495b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18 шілдедегі № 501 қаулысы.</w:t>
      </w:r>
    </w:p>
    <w:p>
      <w:pPr>
        <w:spacing w:after="0"/>
        <w:ind w:left="0"/>
        <w:jc w:val="both"/>
      </w:pPr>
      <w:r>
        <w:rPr>
          <w:rFonts w:ascii="Times New Roman"/>
          <w:b w:val="false"/>
          <w:i w:val="false"/>
          <w:color w:val="000000"/>
          <w:sz w:val="28"/>
        </w:rPr>
        <w:t xml:space="preserve">
      "Мемлекеттік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Дәрілік заттармен және медициналық бұйымдармен іркіліссіз қамтамасыз ету мақсатында Қазақстан Республикасының Денсаулық сақтау министрлігі Қазақстан Республикасында тіркелген дәрілік заттар мен медициналық бұйымдарды 2022 жылғы 3 қыркүйекті қоса алғандағы мерзімге  дейін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бұйымдардың сауда атауына шекті баға қоймай сатып алуды көздейтін шешімдердің қабылдануын қамтамасыз етсін.</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