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c687" w14:textId="8f6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тамыздағы № 563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2022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және бюджетке төленетін басқа да міндетті төлемдер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(Салық кодексі) және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13 және 14-жолдар мынадай редакцияда жазылсын: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Агломерацияларды дамыту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агломерацияларды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Б. Омарбеков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        ";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25 және 26-жолдар алып тасталсын;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29-жолмен толықтырылсын: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заңнамасын жетілдіру мәселелері бойынша өзгерістер мен толықтырулар енгізу 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