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6fae" w14:textId="4946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29 қыркүйектегі № 767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тармақшасының төртінші абзацы мынадай редакцияда жазылсын:</w:t>
      </w:r>
    </w:p>
    <w:bookmarkStart w:name="z4" w:id="2"/>
    <w:p>
      <w:pPr>
        <w:spacing w:after="0"/>
        <w:ind w:left="0"/>
        <w:jc w:val="both"/>
      </w:pPr>
      <w:r>
        <w:rPr>
          <w:rFonts w:ascii="Times New Roman"/>
          <w:b w:val="false"/>
          <w:i w:val="false"/>
          <w:color w:val="000000"/>
          <w:sz w:val="28"/>
        </w:rPr>
        <w:t>
      "ескертпе: акционерлік қоғамдар мен жауапкершілігі шектеулі серіктестіктердің (мемлекеттік кәсіпорындар) әкімшілік аппараттарын орналастыруға арналған алаңдардың нормалары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кәсіпорнының Ұлттық талдауды қалыптастыру департаментіне (Талдау орталығы), Қазақстан Республикасы Цифрлық даму, инновациялар және аэроғарыш өнеркәсібі министрлігінің "Цифрлық үкіметті қолдау орталығы" шаруашылық жүргізу құқығындағы республикалық мемлекеттік кәсіпорнына қолданылмайды;".</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