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c0eb" w14:textId="6f7c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агентін айқындау туралы</w:t>
      </w:r>
    </w:p>
    <w:p>
      <w:pPr>
        <w:spacing w:after="0"/>
        <w:ind w:left="0"/>
        <w:jc w:val="both"/>
      </w:pPr>
      <w:r>
        <w:rPr>
          <w:rFonts w:ascii="Times New Roman"/>
          <w:b w:val="false"/>
          <w:i w:val="false"/>
          <w:color w:val="000000"/>
          <w:sz w:val="28"/>
        </w:rPr>
        <w:t>Қазақстан Республикасы Үкіметінің 2022 жылғы 7 қазандағы № 795 қаулысы</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Республикасының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"Даму" кәсіпкерлікті дамыту қоры" акционерлік қоғамы өңдеу өнеркәсібінің отандық жоғары технологиялық тауарлары мен көрсетілетін қызметтерін шетелдік сатып алушыларға екінші деңгейдегі банктердің, Қазақстанның Даму Банкінің, лизингтік қызметті жүзеге асыратын өзге де заңды тұлғалардың берілетін кредиттер және жасалатын лизингтік мәмілелер бойынша сыйақы мөлшерлемесін субсидиялауын жүзеге асыратын қаржы агенті болып айқындалсын.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