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c061" w14:textId="d91c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жылғы 18 желтоқсандағы Дербес деректер алмасу саласындағы әкімшілік мәселелер бойынша өзара құқықтық көмек туралы келісімді орындауға жауапты уәкілетті органдарды айқындау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қазандағы № 832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 жылғы 18 желтоқсандағы Дербес деректер алмасу саласындағы әкімшілік мәселелер бойынша өзара құқықтық көмек туралы келісімді орындауға жауапты уәкілетті органдарды айқындау туралы" Қазақстан Республикасының Президенті Жарлығының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18 желтоқсандағы Дербес деректер алмасу саласындағы әкімшілік мәселелер бойынша өзара құқықтық көмек туралы келісімді орындауға жауапты уәкілетті органдарды айқындау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18 желтоқсанда жасалған Дербес деректер алмасу саласындағы әкімшілік мәселелер бойынша өзара құқықтық көмек туралы келісімнің (бұдан әрі – Келісім) 17-бабының 3-тармағына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Келісімнің ережелерін орындауға уәкілетті орталық және өзге де мемлекеттік органдардың тізбесі айқындалсын: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Әділет министрлігі – дербес деректер субъектісінің атына тіркелген жылжымайтын мүлік мәселелері бойынша, дербес деректер субъектісінде бар мүліктік сипаттағы міндеттемелер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 – азаматтықтың, тұрақты (уақытша) келуге (тұруға) құқық беретін құжаттардың болуы (болмауы), азаматтарды, үшінші мемлекеттердің азаматтарын және азаматтығы жоқ адамдарды көші-қон есебіне қою немесе тұрғылықты жері (болатын жері) бойынша тіркеу, келуге құқық беретін визалар, жеке басын куәландыратын құжаттар беру мәселелері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прокуратурасы – дербес деректер субъектісін қылмыстық немесе әкімшілік жауаптылыққа тартумен байланысты мәселелер бойынша.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Сырты істер министрлігі Тәуелсіз Мемлекеттер Достастығының Атқарушы комитетін Келісімнің ережелерін орындауға уәкілетті орталық және өзге де мемлекеттік органдардың тізбесі туралы хабардар етуді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