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07a4" w14:textId="9070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Реттеушілік актілері кәсіпкерлік саласындағы міндетті талаптар тізіліміне енгізілуге жататын кәсіпкерлік қызметті реттеу салаларын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15 желтоқсандағы № 1016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Тақырыпта орыс тіліндегі мәтінге өзгеріс енгізілді, қазақ тіліндегі мәтін өзгермейді - ҚР Үкіметінің 28.06.2024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ж.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84-бабы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28.06.2024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Реттеушілік актілері кәсіпкерлік саласындағы міндетті талаптар тізіліміне енгізілуге жататын кәсіпкерлік қызметті реттеу салалары Экономикалық қызмет түрлерінің жалпы жіктеуішіне сәйкес бөлімдер бойынша айқындалсын.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1-тармақта орыс тіліндегі мәтінге өзгеріс енгізілді, қазақ тіліндегі мәтін өзгермейді - ҚР Үкіметінің 28.06.2024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2023 жылғы 1 қаңтардан бастап қолданысқа енгізіледі және ресми жариялануға тиіс.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