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c912" w14:textId="0d7c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27 маусымдағы № 500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қайтып оралуға арналған куәлікті ресімдеу, беру, ауыстыру, тапсыру, алып қою және жою тәртібін және қайтып оралуға арналған куәліктің үлгісі мен оны қорғауға қойылатын талаптарды әзірлеу және бекіту;";</w:t>
      </w:r>
    </w:p>
    <w:bookmarkStart w:name="z6" w:id="3"/>
    <w:p>
      <w:pPr>
        <w:spacing w:after="0"/>
        <w:ind w:left="0"/>
        <w:jc w:val="both"/>
      </w:pPr>
      <w:r>
        <w:rPr>
          <w:rFonts w:ascii="Times New Roman"/>
          <w:b w:val="false"/>
          <w:i w:val="false"/>
          <w:color w:val="000000"/>
          <w:sz w:val="28"/>
        </w:rPr>
        <w:t>
      мынадай мазмұндағы 214-15) және 214-16) тармақшалармен толықтырылсын:</w:t>
      </w:r>
    </w:p>
    <w:bookmarkEnd w:id="3"/>
    <w:bookmarkStart w:name="z7" w:id="4"/>
    <w:p>
      <w:pPr>
        <w:spacing w:after="0"/>
        <w:ind w:left="0"/>
        <w:jc w:val="both"/>
      </w:pPr>
      <w:r>
        <w:rPr>
          <w:rFonts w:ascii="Times New Roman"/>
          <w:b w:val="false"/>
          <w:i w:val="false"/>
          <w:color w:val="000000"/>
          <w:sz w:val="28"/>
        </w:rPr>
        <w:t>
      "214-15)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жүргізу;</w:t>
      </w:r>
    </w:p>
    <w:bookmarkEnd w:id="4"/>
    <w:bookmarkStart w:name="z8" w:id="5"/>
    <w:p>
      <w:pPr>
        <w:spacing w:after="0"/>
        <w:ind w:left="0"/>
        <w:jc w:val="both"/>
      </w:pPr>
      <w:r>
        <w:rPr>
          <w:rFonts w:ascii="Times New Roman"/>
          <w:b w:val="false"/>
          <w:i w:val="false"/>
          <w:color w:val="000000"/>
          <w:sz w:val="28"/>
        </w:rPr>
        <w:t>
      214-16) цифрлық трансформациялауды жүргізу;".</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