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4579" w14:textId="96a4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қаржылық тұрақтылығын қамтамасыз етудің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11 шілдедегі № 548 қаулысы. 01.01.2024 дейін қолданыста болды.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сәйкес 01.01.2024 дейін қолданыста болды.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қаржылық тұрақтылығын қамтамасыз ету шаралары туралы" Қазақстан Республикасы Президентінің 2022 жылғы 14 наурыздағы № 830 Жарлығының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екінші деңгейдегі банктеріне Қазақстан Республикасынан қолма-қол Ресей рублін әкетуге рұқсат 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Қазақстан Республикасының Ұлттық қауіпсіздік комитетімен (келісу бойынша) бірлесіп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бойынша қажетті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2024 жылғы 1 қаңтарға дейін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