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f06a" w14:textId="f86f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н бекіту туралы" Қазақстан Республикасы Үкіметінің 2011 жылғы 28 қазандағы № 122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4 шiлдедегi № 58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н бекіту туралы" Қазақстан Республикасы Үкіметінің 2011 жылғы 28 қазандағы № 12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тратегиялық объектілер меншік иелерінің (құқық иеленушілерінің), оңалтуды немесе банкроттықты басқарушылардың стратегиялық объектіге ауыртпалық салу не иеліктен шығару туралы өтініштерін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Стратегиялық объектілерге ауыртпалық салуға не оларды иеліктен шығаруға рұқсат алу үшін стратегиялық объектінің меншік иесі (құқық иесі), оңалтуды немесе банкроттықты басқарушы не кепіл ұстаушы тиісті саланың уәкілетті органына Заңның 188-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млекеттік жоспарлау жөніндегі уәкілетті орган бекітетін нысан бойынша өтінішті және тізбесі Заңның 18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құжаттарды жібереді.".</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