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9132" w14:textId="29b9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Алтай қаласын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739 қаулысы</w:t>
      </w:r>
    </w:p>
    <w:p>
      <w:pPr>
        <w:spacing w:after="0"/>
        <w:ind w:left="0"/>
        <w:jc w:val="both"/>
      </w:pPr>
      <w:bookmarkStart w:name="z1" w:id="0"/>
      <w:r>
        <w:rPr>
          <w:rFonts w:ascii="Times New Roman"/>
          <w:b w:val="false"/>
          <w:i w:val="false"/>
          <w:color w:val="000000"/>
          <w:sz w:val="28"/>
        </w:rPr>
        <w:t xml:space="preserve">
      Шығыс Қазақстан облысының Алтай қаласының әлеуметтік-экономикалық дамуын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облысының Алтай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атқарушы органдары мен Шығыс Қазақстан облысының әкімдігі Жоспарда көзделген іс-шаралардың уақтылы орындалуын қамтамасыз етсін және жыл қорытындысы бойынша 20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 қорытындысы бойынша 1 наурыздан кешіктірмей Қазақстан Республикасының Үкіметіне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Шығыс Қазақстан облысының Алтай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xml:space="preserve">
      Алтай қаласы – Шығыс Қазақстан облысы Алтай ауданының әкімшілік орталығы. </w:t>
      </w:r>
    </w:p>
    <w:bookmarkEnd w:id="7"/>
    <w:bookmarkStart w:name="z10" w:id="8"/>
    <w:p>
      <w:pPr>
        <w:spacing w:after="0"/>
        <w:ind w:left="0"/>
        <w:jc w:val="both"/>
      </w:pPr>
      <w:r>
        <w:rPr>
          <w:rFonts w:ascii="Times New Roman"/>
          <w:b w:val="false"/>
          <w:i w:val="false"/>
          <w:color w:val="000000"/>
          <w:sz w:val="28"/>
        </w:rPr>
        <w:t xml:space="preserve">
      Мынадай: тау-кен өндіру және өңдеу өнеркәсібі, электр энергиясын өндіру және тарату, жылумен және сумен жабдықтау салаларынан тұратын өнеркәсіп қаланы экономикалық дамытудың негізгі драйвері болып табылады. </w:t>
      </w:r>
    </w:p>
    <w:bookmarkEnd w:id="8"/>
    <w:bookmarkStart w:name="z11" w:id="9"/>
    <w:p>
      <w:pPr>
        <w:spacing w:after="0"/>
        <w:ind w:left="0"/>
        <w:jc w:val="both"/>
      </w:pPr>
      <w:r>
        <w:rPr>
          <w:rFonts w:ascii="Times New Roman"/>
          <w:b w:val="false"/>
          <w:i w:val="false"/>
          <w:color w:val="000000"/>
          <w:sz w:val="28"/>
        </w:rPr>
        <w:t>
      Өнеркәсіптің жетекші кәсіпорындары "Қазцинк" ЖШС (кен және түсті металдарды өндіру, қайта өңдеу), "Фаворит" ЖШС (фанера, ағаш бұйымдарын өндіру), "ВерфСтрой" ЖШС (темір-бетон бұйымдарын дайындау), "Промтепло" ЖШС және "Жылу-су орталығы" КМК (жылу, бу және су беру), "Тұрғысын ГЭС" ЖШС (электр энергиясын өндіру) болып табылады.</w:t>
      </w:r>
    </w:p>
    <w:bookmarkEnd w:id="9"/>
    <w:bookmarkStart w:name="z12" w:id="10"/>
    <w:p>
      <w:pPr>
        <w:spacing w:after="0"/>
        <w:ind w:left="0"/>
        <w:jc w:val="both"/>
      </w:pPr>
      <w:r>
        <w:rPr>
          <w:rFonts w:ascii="Times New Roman"/>
          <w:b w:val="false"/>
          <w:i w:val="false"/>
          <w:color w:val="000000"/>
          <w:sz w:val="28"/>
        </w:rPr>
        <w:t xml:space="preserve">
      2022 жылғы қаңтар-желтоқсан аралығында қаланың өнеркәсіп өнімдерін өндіру көлемі 2021 жылғы деңгейге қарағанда (2021 жылы – 7,9 миллиард теңге) артып, 9 миллиард теңгені құрады. </w:t>
      </w:r>
    </w:p>
    <w:bookmarkEnd w:id="10"/>
    <w:bookmarkStart w:name="z13" w:id="11"/>
    <w:p>
      <w:pPr>
        <w:spacing w:after="0"/>
        <w:ind w:left="0"/>
        <w:jc w:val="both"/>
      </w:pPr>
      <w:r>
        <w:rPr>
          <w:rFonts w:ascii="Times New Roman"/>
          <w:b w:val="false"/>
          <w:i w:val="false"/>
          <w:color w:val="000000"/>
          <w:sz w:val="28"/>
        </w:rPr>
        <w:t>
      2022 жылдың қорытындысы бойынша қала халқының саны 36,1 мың адамды, жұмыс күшінің саны 20,3 мың адамды немесе жалпы халық санының 56,2 %-ын құрады. Жұмыссыздық деңгейі – 4,2 %. Шағын және орта кәсіпкерлікте (бұдан әрі – ШОК) жұмыспен қамтылған халықтың үлесі түрлі көрсетілетін қызметтер саласында (азық-түлік өнімдері мен өнеркәсіп тауарларының бөлшек саудасы, қоғамдық тамақтану, көлік тасымалдары және басқа әлеуметтік көрсетілетін қызметтер) 30 %-ды құрайды.</w:t>
      </w:r>
    </w:p>
    <w:bookmarkEnd w:id="11"/>
    <w:p>
      <w:pPr>
        <w:spacing w:after="0"/>
        <w:ind w:left="0"/>
        <w:jc w:val="both"/>
      </w:pPr>
      <w:r>
        <w:rPr>
          <w:rFonts w:ascii="Times New Roman"/>
          <w:b w:val="false"/>
          <w:i w:val="false"/>
          <w:color w:val="000000"/>
          <w:sz w:val="28"/>
        </w:rPr>
        <w:t xml:space="preserve">
      Қалада 2980 ШОК субъектісі тіркелген, оның ішінде жұмыс істеп тұрғандары – 2633 бірлік, бұл 2021 жылғы деңгейге қарағанда (2536 бірлік) 103,8 %-ға артқан. Жұмыс істеп тұрған шағын кәсіпкерлік субъектілерінің құрылымында негізгі үлес жеке кәсіпкерлерге тиесілі – 2313 бірлік (87,8 %), заңды тұлғалар – 320 бірлік (12,2 %). ШОК қызметінің негізгі саласын азық-түлік өнімдері мен өнеркәсіп тауарларының бөлшек саудасы, өнеркәсіп, көлік қызметтері құрайды. </w:t>
      </w:r>
    </w:p>
    <w:p>
      <w:pPr>
        <w:spacing w:after="0"/>
        <w:ind w:left="0"/>
        <w:jc w:val="both"/>
      </w:pPr>
      <w:r>
        <w:rPr>
          <w:rFonts w:ascii="Times New Roman"/>
          <w:b w:val="false"/>
          <w:i w:val="false"/>
          <w:color w:val="000000"/>
          <w:sz w:val="28"/>
        </w:rPr>
        <w:t>
      Жалпы білім беретін 8 мектеп, балалар музыка мектебі, 6 кәсіптік технологиялық колледж, 2 мамандандырылған мекеме, 7 балабақша жұмыс істейді. Мектепке дейінгі балалар мекемелеріне 1592 бала барады, 1 жастан 6 жасқа дейінгі балаларды қамту – 98 %, 3 жастан 6 жасқа дейінгі балаларды қамту – 100 %. Жалпы білім беретін және мектепке дейінгі мекемелер тапшылығы жоқ.</w:t>
      </w:r>
    </w:p>
    <w:bookmarkStart w:name="z14" w:id="12"/>
    <w:p>
      <w:pPr>
        <w:spacing w:after="0"/>
        <w:ind w:left="0"/>
        <w:jc w:val="both"/>
      </w:pPr>
      <w:r>
        <w:rPr>
          <w:rFonts w:ascii="Times New Roman"/>
          <w:b w:val="false"/>
          <w:i w:val="false"/>
          <w:color w:val="000000"/>
          <w:sz w:val="28"/>
        </w:rPr>
        <w:t>
      Халыққа медициналық көмекті 202 төсек-орынға арналған тәулік бойғы стационар және 38 төсек-орынға арналған күндізгі стационары бар Шығыс Қазақстан облысы Денсаулық сақтау басқармасының  "Алтай ауданының ААА" ШЖҚ КММ көрсетеді. 2022 жылы аналар өлім-жітімі жағдайы тіркелген жоқ. Бала туу коэффициенті 1000 адамға шаққанда 8,9-дан 9,4 жағдайға дейін артты. Өлім-жітім коэффициенті 1000 адамға шаққанда 19,8-ден 13,7 жағдайға дейін төмендеді.</w:t>
      </w:r>
    </w:p>
    <w:bookmarkEnd w:id="12"/>
    <w:p>
      <w:pPr>
        <w:spacing w:after="0"/>
        <w:ind w:left="0"/>
        <w:jc w:val="both"/>
      </w:pPr>
      <w:r>
        <w:rPr>
          <w:rFonts w:ascii="Times New Roman"/>
          <w:b w:val="false"/>
          <w:i w:val="false"/>
          <w:color w:val="000000"/>
          <w:sz w:val="28"/>
        </w:rPr>
        <w:t>
      Қалада 2 мәдениет үйі, 2 кітапхана (орталық және балалар кітапханасы), "Қазцинк" ЖШС-нің 1 техника музейі, 1 өлкетану музейі жұмыс істейді. "Горняк" мәдениет үйінде 350 адамды қамтитын 25 клубтық құралым жұмыс істейді. Қалада халықты бұқаралық спортпен қамтуды қамтамасыз етуге арналған 65 спорт құрылысжай бар. 376 адамға арналған хоккей модулі жұмыс істейді.</w:t>
      </w:r>
    </w:p>
    <w:p>
      <w:pPr>
        <w:spacing w:after="0"/>
        <w:ind w:left="0"/>
        <w:jc w:val="both"/>
      </w:pPr>
      <w:r>
        <w:rPr>
          <w:rFonts w:ascii="Times New Roman"/>
          <w:b w:val="false"/>
          <w:i w:val="false"/>
          <w:color w:val="000000"/>
          <w:sz w:val="28"/>
        </w:rPr>
        <w:t>
      Қаланың тұрғын үй қорын жалпы ауданы 866,6 мың шаршы метр 5328 үй құрайды, оның ішінде 457 үй көпқабатты құрылыс. Мемлекеттік тұрғын үй қорынан тұрғын үй алу кезегінде – 656 адам тұр, оның ішінде жетім балалар – 427 адам, халықтың әлеуметтік осал топтарынан – 218 адам, 11 көп балалы отбасы.</w:t>
      </w:r>
    </w:p>
    <w:bookmarkStart w:name="z15" w:id="13"/>
    <w:p>
      <w:pPr>
        <w:spacing w:after="0"/>
        <w:ind w:left="0"/>
        <w:jc w:val="both"/>
      </w:pPr>
      <w:r>
        <w:rPr>
          <w:rFonts w:ascii="Times New Roman"/>
          <w:b w:val="false"/>
          <w:i w:val="false"/>
          <w:color w:val="000000"/>
          <w:sz w:val="28"/>
        </w:rPr>
        <w:t>
      Алтай қаласының ішкі жолдар желісінің жалпы ұзындығы – 145 километр, ұзындығы 24,7 километр 15 тротуар бар. Алтай қаласында 151 көше бар.</w:t>
      </w:r>
    </w:p>
    <w:bookmarkEnd w:id="13"/>
    <w:p>
      <w:pPr>
        <w:spacing w:after="0"/>
        <w:ind w:left="0"/>
        <w:jc w:val="both"/>
      </w:pPr>
      <w:r>
        <w:rPr>
          <w:rFonts w:ascii="Times New Roman"/>
          <w:b w:val="false"/>
          <w:i w:val="false"/>
          <w:color w:val="000000"/>
          <w:sz w:val="28"/>
        </w:rPr>
        <w:t>
      Сумен жабдықтау желілерінің жалпы ұзындығы 281,4 километрді құрайды, желілердің тозуы – 86 %. Орталықтандырылған сумен жабдықтау жүйесімен қамтамасыз ету 98 %-ды құрайды. Жылумен жабдықтау желілерінің жалпы ұзындығы – 201,6 километрді, желілердің тозуы – 87 %-ды құрайды.</w:t>
      </w:r>
    </w:p>
    <w:p>
      <w:pPr>
        <w:spacing w:after="0"/>
        <w:ind w:left="0"/>
        <w:jc w:val="both"/>
      </w:pPr>
      <w:r>
        <w:rPr>
          <w:rFonts w:ascii="Times New Roman"/>
          <w:b w:val="false"/>
          <w:i w:val="false"/>
          <w:color w:val="000000"/>
          <w:sz w:val="28"/>
        </w:rPr>
        <w:t>
      Қаланың 2027 жылға дейінгі дамуына қолайлы географиялық орналасуы, тау-кен өндіру өнеркәсібі үшін минералды шикізат қорының болуы, түсті металлургия, орман және энергетикалық ресурстар саласындағы айтарлықтай технологиялық әлеует, рекреациялық-туристік әлеует, әлеуметтік қамсыздандыруға арналған бюджет шығыстары үлесінің жоғары болуы, дамыған көлік инфрақұрылымы әсер ететін болады. Өнеркәсіпте тау-кен өндіру және өңдеу өнеркәсібі, Тұрғысын ГЭС электр энергиясын өндіретін объектілерінің жаңаларын салу және жұмыс істеп тұрғандарын жаңғырту дамып келе жатқан бағыт болып табылады. Туризм саласы қала экономикасы үшін перспективалы бағытқа ие. Табиғаттың бірегейлігі бәсекеге қабілетті негізгі туристік өнім ретінде қысқы туризмді атап көрсетуге мүмкіндік береді.</w:t>
      </w:r>
    </w:p>
    <w:bookmarkStart w:name="z16" w:id="14"/>
    <w:p>
      <w:pPr>
        <w:spacing w:after="0"/>
        <w:ind w:left="0"/>
        <w:jc w:val="both"/>
      </w:pPr>
      <w:r>
        <w:rPr>
          <w:rFonts w:ascii="Times New Roman"/>
          <w:b w:val="false"/>
          <w:i w:val="false"/>
          <w:color w:val="000000"/>
          <w:sz w:val="28"/>
        </w:rPr>
        <w:t>
      Бұл ретте алдағы уақытта келесі мәселелерді шешу жоспарланып отыр:</w:t>
      </w:r>
    </w:p>
    <w:bookmarkEnd w:id="14"/>
    <w:bookmarkStart w:name="z17" w:id="15"/>
    <w:p>
      <w:pPr>
        <w:spacing w:after="0"/>
        <w:ind w:left="0"/>
        <w:jc w:val="both"/>
      </w:pPr>
      <w:r>
        <w:rPr>
          <w:rFonts w:ascii="Times New Roman"/>
          <w:b w:val="false"/>
          <w:i w:val="false"/>
          <w:color w:val="000000"/>
          <w:sz w:val="28"/>
        </w:rPr>
        <w:t>
      1) өнеркәсіпте пайдалы қазбалардың жаңа кен орындарын іздестіру бойынша геологиялық барлау жұмыстарына инвестициялар салуды ұлғайту, "Қазцинк" ЖШС қала құраушы кәсіпорнына тәуелділікті сақтау (тау-кен өндіру өнеркәсібі қорларының сарқылуы);</w:t>
      </w:r>
    </w:p>
    <w:bookmarkEnd w:id="15"/>
    <w:bookmarkStart w:name="z18" w:id="16"/>
    <w:p>
      <w:pPr>
        <w:spacing w:after="0"/>
        <w:ind w:left="0"/>
        <w:jc w:val="both"/>
      </w:pPr>
      <w:r>
        <w:rPr>
          <w:rFonts w:ascii="Times New Roman"/>
          <w:b w:val="false"/>
          <w:i w:val="false"/>
          <w:color w:val="000000"/>
          <w:sz w:val="28"/>
        </w:rPr>
        <w:t>
      2) ШОК-ты дамыту;</w:t>
      </w:r>
    </w:p>
    <w:bookmarkEnd w:id="16"/>
    <w:bookmarkStart w:name="z19" w:id="17"/>
    <w:p>
      <w:pPr>
        <w:spacing w:after="0"/>
        <w:ind w:left="0"/>
        <w:jc w:val="both"/>
      </w:pPr>
      <w:r>
        <w:rPr>
          <w:rFonts w:ascii="Times New Roman"/>
          <w:b w:val="false"/>
          <w:i w:val="false"/>
          <w:color w:val="000000"/>
          <w:sz w:val="28"/>
        </w:rPr>
        <w:t xml:space="preserve">
      3) жұмыспен қамтамасыз ету, халықты әлеуметтік қорғау объектілерін жөндеу (сумен жабдықтау жүйесі, едендер, баспалдақ бөліктерін жөндеу, есік және терезе блоктарын ауыстыру, ғимараттардың қасбеттерін жөндеу); </w:t>
      </w:r>
    </w:p>
    <w:bookmarkEnd w:id="17"/>
    <w:bookmarkStart w:name="z20" w:id="18"/>
    <w:p>
      <w:pPr>
        <w:spacing w:after="0"/>
        <w:ind w:left="0"/>
        <w:jc w:val="both"/>
      </w:pPr>
      <w:r>
        <w:rPr>
          <w:rFonts w:ascii="Times New Roman"/>
          <w:b w:val="false"/>
          <w:i w:val="false"/>
          <w:color w:val="000000"/>
          <w:sz w:val="28"/>
        </w:rPr>
        <w:t>
      4) білім беру объектілерінің материалдық-техникалық базаларын жөндеу және нығайту (жылу жүйелері, электрмен жабдықтау, едендер, терезе блоктары, үй-жайлар мен спорт залдарын жөндеу);</w:t>
      </w:r>
    </w:p>
    <w:bookmarkEnd w:id="18"/>
    <w:bookmarkStart w:name="z21" w:id="19"/>
    <w:p>
      <w:pPr>
        <w:spacing w:after="0"/>
        <w:ind w:left="0"/>
        <w:jc w:val="both"/>
      </w:pPr>
      <w:r>
        <w:rPr>
          <w:rFonts w:ascii="Times New Roman"/>
          <w:b w:val="false"/>
          <w:i w:val="false"/>
          <w:color w:val="000000"/>
          <w:sz w:val="28"/>
        </w:rPr>
        <w:t>
      5) медицина ұйымдарының ғимараттарын жөндеу және материалдық-техникалық базасын нығайту (Панфилов көшесі 19-үй мекенжайындағы емхананың 2 және 3-қабаттары, шатыры);</w:t>
      </w:r>
    </w:p>
    <w:bookmarkEnd w:id="19"/>
    <w:bookmarkStart w:name="z22" w:id="20"/>
    <w:p>
      <w:pPr>
        <w:spacing w:after="0"/>
        <w:ind w:left="0"/>
        <w:jc w:val="both"/>
      </w:pPr>
      <w:r>
        <w:rPr>
          <w:rFonts w:ascii="Times New Roman"/>
          <w:b w:val="false"/>
          <w:i w:val="false"/>
          <w:color w:val="000000"/>
          <w:sz w:val="28"/>
        </w:rPr>
        <w:t>
      6) халықтың дене шынықтыру мен спортқа деген толық қажеттіліктерін қанағаттандыру үшін спорт инфрақұрылымы тапшылығы, ұсынылатын мемлекеттік көрсетілетін қызметтердің сапасын арттыру;</w:t>
      </w:r>
    </w:p>
    <w:bookmarkEnd w:id="20"/>
    <w:bookmarkStart w:name="z23" w:id="21"/>
    <w:p>
      <w:pPr>
        <w:spacing w:after="0"/>
        <w:ind w:left="0"/>
        <w:jc w:val="both"/>
      </w:pPr>
      <w:r>
        <w:rPr>
          <w:rFonts w:ascii="Times New Roman"/>
          <w:b w:val="false"/>
          <w:i w:val="false"/>
          <w:color w:val="000000"/>
          <w:sz w:val="28"/>
        </w:rPr>
        <w:t>
      7) қаланың инженерлік желілерінің тозуын азайту (сумен жабдықтау, су бұру, жылумен жабдықтау желілерін реконструкциялау талап етіледі, 85 %-дан астамы тозған);</w:t>
      </w:r>
    </w:p>
    <w:bookmarkEnd w:id="21"/>
    <w:bookmarkStart w:name="z24" w:id="22"/>
    <w:p>
      <w:pPr>
        <w:spacing w:after="0"/>
        <w:ind w:left="0"/>
        <w:jc w:val="both"/>
      </w:pPr>
      <w:r>
        <w:rPr>
          <w:rFonts w:ascii="Times New Roman"/>
          <w:b w:val="false"/>
          <w:i w:val="false"/>
          <w:color w:val="000000"/>
          <w:sz w:val="28"/>
        </w:rPr>
        <w:t>
      8) қаланың автомобиль жолдарының тозуын азайту, жеке сектор көшелерінің  асфальт жабыны 99 %-ға тозған, мұнда шамамен 17 мың адам немесе жалпы қала халқының 50 %-ы тұрады;</w:t>
      </w:r>
    </w:p>
    <w:bookmarkEnd w:id="22"/>
    <w:bookmarkStart w:name="z25" w:id="23"/>
    <w:p>
      <w:pPr>
        <w:spacing w:after="0"/>
        <w:ind w:left="0"/>
        <w:jc w:val="both"/>
      </w:pPr>
      <w:r>
        <w:rPr>
          <w:rFonts w:ascii="Times New Roman"/>
          <w:b w:val="false"/>
          <w:i w:val="false"/>
          <w:color w:val="000000"/>
          <w:sz w:val="28"/>
        </w:rPr>
        <w:t xml:space="preserve">
      9) адамдарды, мүлікті өрттен қорғау үшін өрт сөндіру депосы кешенін салу (құлақтандыру жүйесінің қалалық басқару пультін енгізу, сирена-сөйлеу құрылғыларын, телерадио хабарларын таратуды бұрып алу жүйесін енгізу қажет). </w:t>
      </w:r>
    </w:p>
    <w:bookmarkEnd w:id="23"/>
    <w:bookmarkStart w:name="z26" w:id="24"/>
    <w:p>
      <w:pPr>
        <w:spacing w:after="0"/>
        <w:ind w:left="0"/>
        <w:jc w:val="both"/>
      </w:pPr>
      <w:r>
        <w:rPr>
          <w:rFonts w:ascii="Times New Roman"/>
          <w:b w:val="false"/>
          <w:i w:val="false"/>
          <w:color w:val="000000"/>
          <w:sz w:val="28"/>
        </w:rPr>
        <w:t>
      Жалпы Кешенді жоспар 31 іс-шарадан тұрады, оның ішінде 7 тармақты басқа көздер есебінен (басқа көздер – 28136,6 миллион теңге), 26 іс-шараны республикалық және жергілікті бюджеттер есебінен іске асыру жоспарланып отыр (РБ – 6955,7 миллион теңге, ЖБ – 3466,3 миллион теңге).</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p>
            <w:pPr>
              <w:spacing w:after="20"/>
              <w:ind w:left="20"/>
              <w:jc w:val="both"/>
            </w:pPr>
            <w:r>
              <w:rPr>
                <w:rFonts w:ascii="Times New Roman"/>
                <w:b w:val="false"/>
                <w:i w:val="false"/>
                <w:color w:val="000000"/>
                <w:sz w:val="20"/>
              </w:rPr>
              <w:t>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қалалық әкімшілігінде күтілетін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салынатын инвестициялар көлемін 61,8 миллиард теңгеге дейін ұлғайту (2022 жылы – 36,5 миллиард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көлемін сағатына 95 миллион кВт-ға дейін ұлғайту (2022 жылғы қаңтар-желтоқсан аралығында – 44,5 миллион кВт/сағ)</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бұйымдарын өндіру көлемін 6,9 мың тонна өнімге дейін ұлғайту (2022 жылғы қаңтар-желтоқсан аралығында – 3,9 мың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 келетін туристер ағынын 3,5 мың адамға дейін арттыру (2022 жылы – 1,5 мың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шығаруды 14,5 миллиард теңгеге дейін арттыруды қамтамасыз ету (2022 жылы – 10 миллиард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мектептерінің материалдық-техникалық базасын нығайту ескірген жабдықтарды ауыстыруға мүмкіндік береді, мектептерде жөндеу жұмыстарын жүргізу оларды санитариялық нормалардың талаптарына сәйкес келтіруге мүмкіндік береді, денсаулық сақтау саласында жоғары технологиялық жабдықтарды сатып алу есебінен көрсетілетін қызметтердің сапасы 88 %-ға дейін артады (2022 жылы – 83 %), Панфилов көшесі 19-үй мекенжайындағы стационарға жөндеу жүргізу ғимаратты санитариялық нормалардың талаптарына сәйкестендіруге мүмкіндік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шұғылданатын адамдардың қамтылуын 7 мың адамға дейін ұлғайту (2022 жылы – 5,9 мың адам). Халықтың спорт инфрақұрылымымен қамтамасыз етілу деңгейін 40 %-ға дейін арттыру (2022 жылы – 38 %)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үздіксіз сапалы орталықтандырылған сумен жабдықтаумен 100 % қамтамасыз ету (2022 жылы – 98 %)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жолдардың үлесін 86 %-ға дейін ұлғайту (2022 жылы – 76 %)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аймағын 100 %-ға дейін қамтамасыз ету (2022 жыл – 50 %), адамдарды, материалдық құндылықтарды құтқаруға және өрттерді жоюға қажетті жедел ден қою уақытын 10 минутқа дейін қысқарту (2022 жылы – 60 минут). Төтенше жағдай туындаған және туындау қаупі болған жағдайда қалада тұратын халықты құлақтандырумен қамтуды 100 %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жұмыс орнын құру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нақты секторы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және инвестициялар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(бұрғылау)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Өнеркәсіпте жаңа жобаларды іске асыру (Тұрғысын өзенінде </w:t>
            </w:r>
          </w:p>
          <w:p>
            <w:pPr>
              <w:spacing w:after="20"/>
              <w:ind w:left="20"/>
              <w:jc w:val="both"/>
            </w:pPr>
            <w:r>
              <w:rPr>
                <w:rFonts w:ascii="Times New Roman"/>
                <w:b w:val="false"/>
                <w:i w:val="false"/>
                <w:color w:val="000000"/>
                <w:sz w:val="20"/>
              </w:rPr>
              <w:t>2-ші электр станциясын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 бұйымдарының өндірісін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Кәсіпкерлік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денсаулығы" бос уақыт орталығын салу (20 орынға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демалыс түрлері кешенін салу (ауысымына 200 адамға дейін келетін)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орталығын салу (ауысымына </w:t>
            </w:r>
          </w:p>
          <w:p>
            <w:pPr>
              <w:spacing w:after="20"/>
              <w:ind w:left="20"/>
              <w:jc w:val="both"/>
            </w:pPr>
            <w:r>
              <w:rPr>
                <w:rFonts w:ascii="Times New Roman"/>
                <w:b w:val="false"/>
                <w:i w:val="false"/>
                <w:color w:val="000000"/>
                <w:sz w:val="20"/>
              </w:rPr>
              <w:t>50 адамға дейін келетін)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бастапқы капитал үшін мемлекеттік гранттар беру (жыл сайын кемінде 7 грант)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қорғау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кемінде </w:t>
            </w:r>
          </w:p>
          <w:p>
            <w:pPr>
              <w:spacing w:after="20"/>
              <w:ind w:left="20"/>
              <w:jc w:val="both"/>
            </w:pPr>
            <w:r>
              <w:rPr>
                <w:rFonts w:ascii="Times New Roman"/>
                <w:b w:val="false"/>
                <w:i w:val="false"/>
                <w:color w:val="000000"/>
                <w:sz w:val="20"/>
              </w:rPr>
              <w:t>105 адамды жұмысқа орналастыра отырып, жұмыс орындарын субсидиялау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және қарттарға әлеуметтік қызмет көрсету аумақтық орталығы" КММ ғимаратының қасбетін ағымдағы жөндеу, терезе және есік блоктарын ауыстыру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және қарттарға әлеуметтік қызмет көрсету аумақтық орталығы" КММ-нің баспалдақ бөліктерін, еденін, сумен жабдықтау жүйесін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 үшін жеңілдікті ипотека беру (облыс ішінде қоныс аудару) (алғашқы жарна – 10 %, сыйақы мөлшерлемесі – </w:t>
            </w:r>
          </w:p>
          <w:p>
            <w:pPr>
              <w:spacing w:after="20"/>
              <w:ind w:left="20"/>
              <w:jc w:val="both"/>
            </w:pPr>
            <w:r>
              <w:rPr>
                <w:rFonts w:ascii="Times New Roman"/>
                <w:b w:val="false"/>
                <w:i w:val="false"/>
                <w:color w:val="000000"/>
                <w:sz w:val="20"/>
              </w:rPr>
              <w:t>2-5 %, ең жоғары қарыз сомасы – 19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ИИДМ-ге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жылдардың IV тоқсаны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бөлінетін қаражат шегінде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Алтай қаласының әлеуметтік және инженерлік инфрақұрылымын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Білім беру саласы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8 мектептің материалдық-техникалық базасын нығайту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 – 2 объект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IV тоқсан </w:t>
            </w:r>
          </w:p>
          <w:p>
            <w:pPr>
              <w:spacing w:after="20"/>
              <w:ind w:left="20"/>
              <w:jc w:val="both"/>
            </w:pPr>
            <w:r>
              <w:rPr>
                <w:rFonts w:ascii="Times New Roman"/>
                <w:b w:val="false"/>
                <w:i w:val="false"/>
                <w:color w:val="000000"/>
                <w:sz w:val="20"/>
              </w:rPr>
              <w:t>– 2 объект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IV тоқсан </w:t>
            </w:r>
          </w:p>
          <w:p>
            <w:pPr>
              <w:spacing w:after="20"/>
              <w:ind w:left="20"/>
              <w:jc w:val="both"/>
            </w:pPr>
            <w:r>
              <w:rPr>
                <w:rFonts w:ascii="Times New Roman"/>
                <w:b w:val="false"/>
                <w:i w:val="false"/>
                <w:color w:val="000000"/>
                <w:sz w:val="20"/>
              </w:rPr>
              <w:t>– 2 объект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IІІ тоқсан </w:t>
            </w:r>
          </w:p>
          <w:p>
            <w:pPr>
              <w:spacing w:after="20"/>
              <w:ind w:left="20"/>
              <w:jc w:val="both"/>
            </w:pPr>
            <w:r>
              <w:rPr>
                <w:rFonts w:ascii="Times New Roman"/>
                <w:b w:val="false"/>
                <w:i w:val="false"/>
                <w:color w:val="000000"/>
                <w:sz w:val="20"/>
              </w:rPr>
              <w:t>– 1 объект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жылғы IІІ тоқсан </w:t>
            </w:r>
          </w:p>
          <w:p>
            <w:pPr>
              <w:spacing w:after="20"/>
              <w:ind w:left="20"/>
              <w:jc w:val="both"/>
            </w:pPr>
            <w:r>
              <w:rPr>
                <w:rFonts w:ascii="Times New Roman"/>
                <w:b w:val="false"/>
                <w:i w:val="false"/>
                <w:color w:val="000000"/>
                <w:sz w:val="20"/>
              </w:rPr>
              <w:t>– 1 объект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қаласының № 7 орта мектебі" КММ терезе блоктарын жөндеу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лицей мектебі" КММ үй-жайларын, еденін, спорт залын, электрмен жабдықтау жүйесін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 2 бастауыш мектебі" КММ сыртқы жылыту жүйесін, шатырын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Денсаулық сақтау саласы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ауданаралық ауруханасы" ШЖҚ КМК материалдық-техникалық базасын нығайту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19-үй мекенжайындағы стационар ғимаратының шатырын жөндеу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19-үй мекенжайындағы стационар ғимаратының кіре берісін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көшесі 19-үй мекенжайындағы стационар ғимаратының </w:t>
            </w:r>
          </w:p>
          <w:p>
            <w:pPr>
              <w:spacing w:after="20"/>
              <w:ind w:left="20"/>
              <w:jc w:val="both"/>
            </w:pPr>
            <w:r>
              <w:rPr>
                <w:rFonts w:ascii="Times New Roman"/>
                <w:b w:val="false"/>
                <w:i w:val="false"/>
                <w:color w:val="000000"/>
                <w:sz w:val="20"/>
              </w:rPr>
              <w:t>2 және 3-қабаттарын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Мәдениет және спорт, жастардың бос уақыты саласы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объектілерінің материалдық-техникалық </w:t>
            </w:r>
          </w:p>
          <w:p>
            <w:pPr>
              <w:spacing w:after="20"/>
              <w:ind w:left="20"/>
              <w:jc w:val="both"/>
            </w:pPr>
            <w:r>
              <w:rPr>
                <w:rFonts w:ascii="Times New Roman"/>
                <w:b w:val="false"/>
                <w:i w:val="false"/>
                <w:color w:val="000000"/>
                <w:sz w:val="20"/>
              </w:rPr>
              <w:t>
базасын нығайту (хоккей модулі, спорт залдары)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ІІІ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ІІІ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қаласында ауысымына 100 адам келетін дене шынықтыру-сауықтыру кешенін салу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Тыныс-тіршілікті қамтамасыз ететін инфрақұрылымды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Жылумен жабдықтау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қаласының </w:t>
            </w:r>
          </w:p>
          <w:p>
            <w:pPr>
              <w:spacing w:after="20"/>
              <w:ind w:left="20"/>
              <w:jc w:val="both"/>
            </w:pPr>
            <w:r>
              <w:rPr>
                <w:rFonts w:ascii="Times New Roman"/>
                <w:b w:val="false"/>
                <w:i w:val="false"/>
                <w:color w:val="000000"/>
                <w:sz w:val="20"/>
              </w:rPr>
              <w:t>16 орталық жылу пунктін реконструкциялау (құбыр бөлігін және сорғыларды ауыстыру)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жылумен жабдықтау желілерін реконструкциялау (ұзындығы – 6,5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Сумен жабдықтау және су бұру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қаласының 138, </w:t>
            </w:r>
          </w:p>
          <w:p>
            <w:pPr>
              <w:spacing w:after="20"/>
              <w:ind w:left="20"/>
              <w:jc w:val="both"/>
            </w:pPr>
            <w:r>
              <w:rPr>
                <w:rFonts w:ascii="Times New Roman"/>
                <w:b w:val="false"/>
                <w:i w:val="false"/>
                <w:color w:val="000000"/>
                <w:sz w:val="20"/>
              </w:rPr>
              <w:t>139-орамдарының су құбыры желілерін реконструкциялау (ұзындығы – 8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қаласының су бұру желілерін реконструкциялау (ұзындығы – 12,8 километр)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Жолдар және абаттандыру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көшелерін орташа және ағымдағы жөндеу (жыл сайын кемінде 2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инфрақұрылымын реконструкциялау (Зыряновская және Партизанская көшелері, ұзындығы – 4,6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орната отырып, аула аумақтарын абаттандыру (жыл сайын 2 аула)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бөліктің инфрақұрылымын реконструкциялау (ұзындығы – 2 километр жаяу жүргіншілер аймағы мен жолдар)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 желісін жаңғырту (1569 шам, ұзындығы – 35,1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Қауіпсіздік және құқықтық тәртіп</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қаласында 4 автомобильге арналған өрт сөндіру депосы кешенін салу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ТЖМ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жүйесінің қалалық басқару пультін сатып алу (1 жинақ)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Сирена-сөйлеу құрылғыларын сатып алу (7 жинақ)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IV тоқсан </w:t>
            </w:r>
          </w:p>
          <w:p>
            <w:pPr>
              <w:spacing w:after="20"/>
              <w:ind w:left="20"/>
              <w:jc w:val="both"/>
            </w:pPr>
            <w:r>
              <w:rPr>
                <w:rFonts w:ascii="Times New Roman"/>
                <w:b w:val="false"/>
                <w:i w:val="false"/>
                <w:color w:val="000000"/>
                <w:sz w:val="20"/>
              </w:rPr>
              <w:t>– 1 жинақ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IV тоқсан </w:t>
            </w:r>
          </w:p>
          <w:p>
            <w:pPr>
              <w:spacing w:after="20"/>
              <w:ind w:left="20"/>
              <w:jc w:val="both"/>
            </w:pPr>
            <w:r>
              <w:rPr>
                <w:rFonts w:ascii="Times New Roman"/>
                <w:b w:val="false"/>
                <w:i w:val="false"/>
                <w:color w:val="000000"/>
                <w:sz w:val="20"/>
              </w:rPr>
              <w:t>– 2 жинақ</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IV тоқсан </w:t>
            </w:r>
          </w:p>
          <w:p>
            <w:pPr>
              <w:spacing w:after="20"/>
              <w:ind w:left="20"/>
              <w:jc w:val="both"/>
            </w:pPr>
            <w:r>
              <w:rPr>
                <w:rFonts w:ascii="Times New Roman"/>
                <w:b w:val="false"/>
                <w:i w:val="false"/>
                <w:color w:val="000000"/>
                <w:sz w:val="20"/>
              </w:rPr>
              <w:t>– 2 жинақ</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жылғы IV тоқсан </w:t>
            </w:r>
          </w:p>
          <w:p>
            <w:pPr>
              <w:spacing w:after="20"/>
              <w:ind w:left="20"/>
              <w:jc w:val="both"/>
            </w:pPr>
            <w:r>
              <w:rPr>
                <w:rFonts w:ascii="Times New Roman"/>
                <w:b w:val="false"/>
                <w:i w:val="false"/>
                <w:color w:val="000000"/>
                <w:sz w:val="20"/>
              </w:rPr>
              <w:t>– 2 жинақ</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Ескертпелер:</w:t>
      </w:r>
    </w:p>
    <w:bookmarkEnd w:id="25"/>
    <w:p>
      <w:pPr>
        <w:spacing w:after="0"/>
        <w:ind w:left="0"/>
        <w:jc w:val="both"/>
      </w:pPr>
      <w:r>
        <w:rPr>
          <w:rFonts w:ascii="Times New Roman"/>
          <w:b w:val="false"/>
          <w:i w:val="false"/>
          <w:color w:val="000000"/>
          <w:sz w:val="28"/>
        </w:rPr>
        <w:t>
      * республикалық және жергілікті бюджеттердің қаражаты есебінен қаржыландырылатын іс-шаралар бойынша шығыстар көлемі әкімдік бюджет заңнамасына сәйкес қажетті құжаттаманы ұсынған кезде тиісті жоспарлы кезеңге арналған республикалық және жергілікті бюджеттерді қалыптастыру және нақтылау кезінде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Қолдау тапқан жобалар бойынша қаржыландыру көлемі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38558,6</w:t>
            </w:r>
          </w:p>
        </w:tc>
      </w:tr>
    </w:tbl>
    <w:p>
      <w:pPr>
        <w:spacing w:after="0"/>
        <w:ind w:left="0"/>
        <w:jc w:val="left"/>
      </w:pP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Аббревиатуралардың толық жазылуы:       </w:t>
      </w:r>
    </w:p>
    <w:bookmarkEnd w:id="27"/>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ГЭС – гидроэлектр станциясы</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кВТ – киловольт</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МКМ – мемлекеттік коммуналдық мекеме</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ШЖҚ КМК – шаруашылық жүргізу құқығындағы коммуналдық мемлекеттік кәсіпорын</w:t>
      </w:r>
    </w:p>
    <w:p>
      <w:pPr>
        <w:spacing w:after="0"/>
        <w:ind w:left="0"/>
        <w:jc w:val="both"/>
      </w:pPr>
      <w:r>
        <w:rPr>
          <w:rFonts w:ascii="Times New Roman"/>
          <w:b w:val="false"/>
          <w:i w:val="false"/>
          <w:color w:val="000000"/>
          <w:sz w:val="28"/>
        </w:rPr>
        <w:t>
      ШҚО – Шығыс Қазақстан облысы</w:t>
      </w:r>
    </w:p>
    <w:p>
      <w:pPr>
        <w:spacing w:after="0"/>
        <w:ind w:left="0"/>
        <w:jc w:val="both"/>
      </w:pPr>
      <w:r>
        <w:rPr>
          <w:rFonts w:ascii="Times New Roman"/>
          <w:b w:val="false"/>
          <w:i w:val="false"/>
          <w:color w:val="000000"/>
          <w:sz w:val="28"/>
        </w:rPr>
        <w:t>
      ШОК – шағын және орта кәсіпкерлік.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