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03e44d" w14:textId="603e44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Ұлттық қорын орналастыру үшін материалдық емес активтерді қоспағанда, рұқсат етілген қаржы құралдарының тізбесін бекіту туралы" Қазақстан Республикасы Үкіметінің 2009 жылғы 28 қаңтардағы № 66 қаулысына өзгеріс енгізу туралы</w:t>
      </w:r>
    </w:p>
    <w:p>
      <w:pPr>
        <w:spacing w:after="0"/>
        <w:ind w:left="0"/>
        <w:jc w:val="both"/>
      </w:pPr>
      <w:r>
        <w:rPr>
          <w:rFonts w:ascii="Times New Roman"/>
          <w:b w:val="false"/>
          <w:i w:val="false"/>
          <w:color w:val="000000"/>
          <w:sz w:val="28"/>
        </w:rPr>
        <w:t>Қазақстан Республикасы Үкіметінің 2023 жылғы 29 қыркүйектегі № 845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"Қазақстан Республикасының Ұлттық қорын орналастыру үшін материалдық емес активтерді қоспағанда, рұқсат етілген қаржы құралдарының тізбесін бекіту туралы" Қазақстан Республикасы Үкіметінің 2009 жылғы 28 қаңтардағы № 66 </w:t>
      </w:r>
      <w:r>
        <w:rPr>
          <w:rFonts w:ascii="Times New Roman"/>
          <w:b w:val="false"/>
          <w:i w:val="false"/>
          <w:color w:val="000000"/>
          <w:sz w:val="28"/>
        </w:rPr>
        <w:t>қаулысына</w:t>
      </w:r>
      <w:r>
        <w:rPr>
          <w:rFonts w:ascii="Times New Roman"/>
          <w:b w:val="false"/>
          <w:i w:val="false"/>
          <w:color w:val="000000"/>
          <w:sz w:val="28"/>
        </w:rPr>
        <w:t xml:space="preserve">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Қазақстан Республикасының Ұлттық қорын орналастыру үшін материалдық емес активтерді қоспағанда, рұқсат етілген қаржы құралдарының </w:t>
      </w:r>
      <w:r>
        <w:rPr>
          <w:rFonts w:ascii="Times New Roman"/>
          <w:b w:val="false"/>
          <w:i w:val="false"/>
          <w:color w:val="000000"/>
          <w:sz w:val="28"/>
        </w:rPr>
        <w:t>тізбесінде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"2. Қазақстандық қаржы құралдары:</w:t>
      </w:r>
    </w:p>
    <w:bookmarkEnd w:id="3"/>
    <w:bookmarkStart w:name="z6" w:id="4"/>
    <w:p>
      <w:pPr>
        <w:spacing w:after="0"/>
        <w:ind w:left="0"/>
        <w:jc w:val="both"/>
      </w:pPr>
      <w:r>
        <w:rPr>
          <w:rFonts w:ascii="Times New Roman"/>
          <w:b w:val="false"/>
          <w:i w:val="false"/>
          <w:color w:val="000000"/>
          <w:sz w:val="28"/>
        </w:rPr>
        <w:t>
      1) Қазақстан Республикасы Президентінің тікелей тапсырмасы бойынша іске асырылатын стратегиялық инфрақұрылымдық жобаларды іске асыру үшін шығарылатын "Самұрық-Қазына" ұлттық әл-ауқат қоры" акционерлік қоғамының борыштық бағалы қағаздары;</w:t>
      </w:r>
    </w:p>
    <w:bookmarkEnd w:id="4"/>
    <w:bookmarkStart w:name="z7" w:id="5"/>
    <w:p>
      <w:pPr>
        <w:spacing w:after="0"/>
        <w:ind w:left="0"/>
        <w:jc w:val="both"/>
      </w:pPr>
      <w:r>
        <w:rPr>
          <w:rFonts w:ascii="Times New Roman"/>
          <w:b w:val="false"/>
          <w:i w:val="false"/>
          <w:color w:val="000000"/>
          <w:sz w:val="28"/>
        </w:rPr>
        <w:t>
      2) халықаралық SPO (Secondary public offering) жүргізу кезінде Қазақстан Республикасы Ұлттық қорының үлесін басым түрде өткізу құқығымен республикалық бюджетті қаржыландыру үшін Қазақстан Республикасы Үкіметінің шешімі бойынша нарықтық құнына дисконтпен "ҚазМұнайГаз" ұлттық компаниясы" акционерлік қоғамының акциялары.".</w:t>
      </w:r>
    </w:p>
    <w:bookmarkEnd w:id="5"/>
    <w:bookmarkStart w:name="z8" w:id="6"/>
    <w:p>
      <w:pPr>
        <w:spacing w:after="0"/>
        <w:ind w:left="0"/>
        <w:jc w:val="both"/>
      </w:pPr>
      <w:r>
        <w:rPr>
          <w:rFonts w:ascii="Times New Roman"/>
          <w:b w:val="false"/>
          <w:i w:val="false"/>
          <w:color w:val="000000"/>
          <w:sz w:val="28"/>
        </w:rPr>
        <w:t>
      2. Осы қаулы қол қойылған күнінен бастап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