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7ec2" w14:textId="42d7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19 желтоқсандағы № 1148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Мәдениет және ақпарат министрлігінің кейбір мәселелері туралы" Қазақстан Республикасы Үкіметінің 2023 жылғы 4 қазандағы № 866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Мәдениет және ақпарат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496-1), 496-2), 496-3), 496-4), 496-5), 496-6), 496-7), 496-8) және 496-9) тармақшалармен толықтырылсын:</w:t>
      </w:r>
    </w:p>
    <w:bookmarkStart w:name="z5" w:id="3"/>
    <w:p>
      <w:pPr>
        <w:spacing w:after="0"/>
        <w:ind w:left="0"/>
        <w:jc w:val="both"/>
      </w:pPr>
      <w:r>
        <w:rPr>
          <w:rFonts w:ascii="Times New Roman"/>
          <w:b w:val="false"/>
          <w:i w:val="false"/>
          <w:color w:val="000000"/>
          <w:sz w:val="28"/>
        </w:rPr>
        <w:t>
      "496-1) петицияны қарау нәтижелері бойынша қабылданған шешімнің нысанын әзірлеу және бекіту;</w:t>
      </w:r>
    </w:p>
    <w:bookmarkEnd w:id="3"/>
    <w:bookmarkStart w:name="z6" w:id="4"/>
    <w:p>
      <w:pPr>
        <w:spacing w:after="0"/>
        <w:ind w:left="0"/>
        <w:jc w:val="both"/>
      </w:pPr>
      <w:r>
        <w:rPr>
          <w:rFonts w:ascii="Times New Roman"/>
          <w:b w:val="false"/>
          <w:i w:val="false"/>
          <w:color w:val="000000"/>
          <w:sz w:val="28"/>
        </w:rPr>
        <w:t>
      496-2) орталық атқарушы органдардың алқалы органдарының және облыстың, республикалық маңызы бар қаланың, астананың, ауданның (облыстық маңызы бар қаланың) жергілікті өкілді және атқарушы органдарының отырыстарына ақпарат пайдаланушылардың қол жеткізу қағидаларын әзірлеу және бекіту;</w:t>
      </w:r>
    </w:p>
    <w:bookmarkEnd w:id="4"/>
    <w:p>
      <w:pPr>
        <w:spacing w:after="0"/>
        <w:ind w:left="0"/>
        <w:jc w:val="both"/>
      </w:pPr>
      <w:r>
        <w:rPr>
          <w:rFonts w:ascii="Times New Roman"/>
          <w:b w:val="false"/>
          <w:i w:val="false"/>
          <w:color w:val="000000"/>
          <w:sz w:val="28"/>
        </w:rPr>
        <w:t>
      496-3) ақпарат иеленушілердің ашықтық стандартын әзірлеу және бекіту;</w:t>
      </w:r>
    </w:p>
    <w:p>
      <w:pPr>
        <w:spacing w:after="0"/>
        <w:ind w:left="0"/>
        <w:jc w:val="both"/>
      </w:pPr>
      <w:r>
        <w:rPr>
          <w:rFonts w:ascii="Times New Roman"/>
          <w:b w:val="false"/>
          <w:i w:val="false"/>
          <w:color w:val="000000"/>
          <w:sz w:val="28"/>
        </w:rPr>
        <w:t>
      496-4) петицияларды тіркеу және есепке алу қағидаларын әзірлеу және бекіту;</w:t>
      </w:r>
    </w:p>
    <w:p>
      <w:pPr>
        <w:spacing w:after="0"/>
        <w:ind w:left="0"/>
        <w:jc w:val="both"/>
      </w:pPr>
      <w:r>
        <w:rPr>
          <w:rFonts w:ascii="Times New Roman"/>
          <w:b w:val="false"/>
          <w:i w:val="false"/>
          <w:color w:val="000000"/>
          <w:sz w:val="28"/>
        </w:rPr>
        <w:t>
      496-5) петиция беруге арналған интернет-ресурсты айқындау;</w:t>
      </w:r>
    </w:p>
    <w:p>
      <w:pPr>
        <w:spacing w:after="0"/>
        <w:ind w:left="0"/>
        <w:jc w:val="both"/>
      </w:pPr>
      <w:r>
        <w:rPr>
          <w:rFonts w:ascii="Times New Roman"/>
          <w:b w:val="false"/>
          <w:i w:val="false"/>
          <w:color w:val="000000"/>
          <w:sz w:val="28"/>
        </w:rPr>
        <w:t>
      496-6) петицияны интернет-ресурста орналастыру туралы жазбаша өтініштің нысанын әзірлеу және бекіту;</w:t>
      </w:r>
    </w:p>
    <w:p>
      <w:pPr>
        <w:spacing w:after="0"/>
        <w:ind w:left="0"/>
        <w:jc w:val="both"/>
      </w:pPr>
      <w:r>
        <w:rPr>
          <w:rFonts w:ascii="Times New Roman"/>
          <w:b w:val="false"/>
          <w:i w:val="false"/>
          <w:color w:val="000000"/>
          <w:sz w:val="28"/>
        </w:rPr>
        <w:t>
      496-7) петицияға қосылу қағидаларын және петицияға қосылу туралы жазбаша өтініштің нысанын әзірлеу және бекіту;</w:t>
      </w:r>
    </w:p>
    <w:p>
      <w:pPr>
        <w:spacing w:after="0"/>
        <w:ind w:left="0"/>
        <w:jc w:val="both"/>
      </w:pPr>
      <w:r>
        <w:rPr>
          <w:rFonts w:ascii="Times New Roman"/>
          <w:b w:val="false"/>
          <w:i w:val="false"/>
          <w:color w:val="000000"/>
          <w:sz w:val="28"/>
        </w:rPr>
        <w:t>
      496-8) петицияның заңнамада белгіленген шарттарға сәйкестігін тексеруді жүзеге асыру;</w:t>
      </w:r>
    </w:p>
    <w:p>
      <w:pPr>
        <w:spacing w:after="0"/>
        <w:ind w:left="0"/>
        <w:jc w:val="both"/>
      </w:pPr>
      <w:r>
        <w:rPr>
          <w:rFonts w:ascii="Times New Roman"/>
          <w:b w:val="false"/>
          <w:i w:val="false"/>
          <w:color w:val="000000"/>
          <w:sz w:val="28"/>
        </w:rPr>
        <w:t>
      496-9) бұқаралық ақпарат құралдары саласындағы уәкілетті органда есепке қойылған бұқаралық ақпарат құралдарына петицияға қосылудың басталғаны туралы хабарлау;".</w:t>
      </w:r>
    </w:p>
    <w:bookmarkStart w:name="z7" w:id="5"/>
    <w:p>
      <w:pPr>
        <w:spacing w:after="0"/>
        <w:ind w:left="0"/>
        <w:jc w:val="both"/>
      </w:pPr>
      <w:r>
        <w:rPr>
          <w:rFonts w:ascii="Times New Roman"/>
          <w:b w:val="false"/>
          <w:i w:val="false"/>
          <w:color w:val="000000"/>
          <w:sz w:val="28"/>
        </w:rPr>
        <w:t>
      2. Осы қаулы алғашқы ресми жарияланған күнінен бастап, бірақ ерте дегенде 2024 жылғы 4 сәуірде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