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f962" w14:textId="7def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тұтқырлығы жоғары, су басқан, дебиті аз және игерілген санатқа жатқызылатын көмірсутек кен орындарының (кен орындары тобының, кен орнының бір бөлігінің) тізбесін бекіту, "Көмірсутектер кен орнын (кен орындарының бір тобын, кен орнының бір бөлігін) рентабельділігі төмен, тұтқырлығы жоғары, су басқан, дебиті аз және игерілген санатқа жатқызу қағидаларын және пайдалы қазбаларды өндіру салығы бөлігінде салық салу тәртібін бекіту туралы" Қазақстан Республикасы Үкіметінің 2018 жылғы 18 сәуірдегі № 204 қаулысына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2019 жылғы 27 маусымдағы № 449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16 ақпандағы № 93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"Рентабельділігі төмен, тұтқырлығы жоғары, су басқан, дебиті аз және игерілген санатқа жатқызылатын көмірсутек кен орындарының (кен орындары тобының, кен орнының бір бөлігінің) тізбесін бекіту, "Көмірсутектер кен орнын (кен орындарының бір тобын, кен орнының бір бөлігін) рентабельділігі төмен, тұтқырлығы жоғары, су басқан, дебиті аз және игерілген санатқа жатқызу қағидаларын және пайдалы қазбаларды өндіру салығы бөлігінде салық салу тәртібін бекіту туралы" Қазақстан Республикасы Үкіметінің 2018 жылғы 18 сәуірдегі № 204 қаулысына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2019 жылғы 27 маусымдағы № 449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рентабельділігі төмен, тұтқырлығы жоғары, су басқан, дебиті аз және игерілген санатқа жатқызылатын көмірсутек кен орындарының (кен орындары тобының, кен орнының бір бөлігінің)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реттік нөмірі 11-жол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орналасқан Құмкөл және Шығыс Құмкөл мұнай-газ конденсатты кен орындары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Қарағанды облысындағы Құмкөл және Шығыс Құмкөл кен орындарында көмірсутектерді өндіруге арналған 2020 жылғы 3 желтоқсандағы № 4878-УВС келісімшарты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Петролеум" акционерлік қоғамы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орнындағы су басуы 91,5 %-ды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46026'05" с.е. 65030'55"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46026'24" с.е. 65033'18"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46027'57" с.е.</w:t>
            </w:r>
          </w:p>
          <w:p>
            <w:pPr>
              <w:spacing w:after="20"/>
              <w:ind w:left="20"/>
              <w:jc w:val="both"/>
            </w:pPr>
            <w:r>
              <w:rPr>
                <w:rFonts w:ascii="Times New Roman"/>
                <w:b w:val="false"/>
                <w:i w:val="false"/>
                <w:color w:val="000000"/>
                <w:sz w:val="20"/>
              </w:rPr>
              <w:t>
65035'00"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46027'25" с.е. 65036'28"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46028'32" с.е. 65038'31"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46055'55" с.е. 50019'50"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46055'25" с.е. 50018'58"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46055'48" с.е.</w:t>
            </w:r>
          </w:p>
          <w:p>
            <w:pPr>
              <w:spacing w:after="20"/>
              <w:ind w:left="20"/>
              <w:jc w:val="both"/>
            </w:pPr>
            <w:r>
              <w:rPr>
                <w:rFonts w:ascii="Times New Roman"/>
                <w:b w:val="false"/>
                <w:i w:val="false"/>
                <w:color w:val="000000"/>
                <w:sz w:val="20"/>
              </w:rPr>
              <w:t>
50017'10"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