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2987" w14:textId="1bf2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2024 жылғы 25 шілдедегі № 607 қаулысы.</w:t>
      </w:r>
    </w:p>
    <w:p>
      <w:pPr>
        <w:spacing w:after="0"/>
        <w:ind w:left="0"/>
        <w:jc w:val="left"/>
      </w:pP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Республикасының Ұлттық экономика министрлігі "Бәйтерек" ұлттық басқарушы холдингі" акционерлік қоғамымен, оның ішінде холдинг тобына кіретін компаниялармен (бұдан әрі – қаржыландырушы ұйымдар) тұрғын үй-коммуналдық шаруашылық көрсететін қызметтердің табиғи монополиялар субъектілерінің кредиттік міндеттемелерін жабатын тарифтерін белгіленген кезеңділікпен (қарыздың бүкіл мерзімінде) бекіту туралы тиісті келісім жасассын.</w:t>
      </w:r>
    </w:p>
    <w:bookmarkEnd w:id="2"/>
    <w:bookmarkStart w:name="z6" w:id="3"/>
    <w:p>
      <w:pPr>
        <w:spacing w:after="0"/>
        <w:ind w:left="0"/>
        <w:jc w:val="both"/>
      </w:pPr>
      <w:r>
        <w:rPr>
          <w:rFonts w:ascii="Times New Roman"/>
          <w:b w:val="false"/>
          <w:i w:val="false"/>
          <w:color w:val="000000"/>
          <w:sz w:val="28"/>
        </w:rPr>
        <w:t>
      3. Қаржыландырушы ұйымдар (келісу бойынша) қаржыландырушы ұйымдардың қаржы-шаруашылық қызметіне әсеріне қарамастан, тұрғын үй-коммуналдық шаруашылық саласындағы табиғи монополиялар субъектілерінің жобаларын қаржыландыруды жүзеге асырсын.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8"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шілдедегі</w:t>
            </w:r>
            <w:r>
              <w:br/>
            </w:r>
            <w:r>
              <w:rPr>
                <w:rFonts w:ascii="Times New Roman"/>
                <w:b w:val="false"/>
                <w:i w:val="false"/>
                <w:color w:val="000000"/>
                <w:sz w:val="20"/>
              </w:rPr>
              <w:t>№ 607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бағдарламасы</w:t>
      </w:r>
    </w:p>
    <w:bookmarkEnd w:id="6"/>
    <w:bookmarkStart w:name="z12" w:id="7"/>
    <w:p>
      <w:pPr>
        <w:spacing w:after="0"/>
        <w:ind w:left="0"/>
        <w:jc w:val="both"/>
      </w:pPr>
      <w:r>
        <w:rPr>
          <w:rFonts w:ascii="Times New Roman"/>
          <w:b w:val="false"/>
          <w:i w:val="false"/>
          <w:color w:val="000000"/>
          <w:sz w:val="28"/>
        </w:rPr>
        <w:t>
      Мазмұны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Бағдарламаның паспорты.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Кіріспе.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Ағымдағы ахуалды талдау.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Бағдарламаның мақсаты, міндеті, нысаналы индикаторлары мен оны іске асыру нәтижелерінің көрсеткіштері.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Бағдарламаның негізгі бағыттары, қойылған мақсаттарына қол жеткізу жолдары және тиісті 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Қажетті ресурстар.</w:t>
      </w:r>
    </w:p>
    <w:bookmarkStart w:name="z19" w:id="8"/>
    <w:p>
      <w:pPr>
        <w:spacing w:after="0"/>
        <w:ind w:left="0"/>
        <w:jc w:val="left"/>
      </w:pPr>
      <w:r>
        <w:rPr>
          <w:rFonts w:ascii="Times New Roman"/>
          <w:b/>
          <w:i w:val="false"/>
          <w:color w:val="000000"/>
        </w:rPr>
        <w:t xml:space="preserve"> 1-бөлім. Бағдарламаның паспорты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тұрғын үй-коммуналдық шаруашылығының инженерлік-коммуникациялық инфрақұрылымы жобаларын қаржыландырудың 2024 – 2029 жылдарға арналған бағдарламасы (бұдан әрі – Бағдарлама)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атты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w:t>
            </w:r>
            <w:r>
              <w:rPr>
                <w:rFonts w:ascii="Times New Roman"/>
                <w:b w:val="false"/>
                <w:i w:val="false"/>
                <w:color w:val="000000"/>
                <w:sz w:val="20"/>
              </w:rPr>
              <w:t>;</w:t>
            </w:r>
          </w:p>
          <w:bookmarkEnd w:id="9"/>
          <w:p>
            <w:pPr>
              <w:spacing w:after="20"/>
              <w:ind w:left="20"/>
              <w:jc w:val="both"/>
            </w:pPr>
            <w:r>
              <w:rPr>
                <w:rFonts w:ascii="Times New Roman"/>
                <w:b w:val="false"/>
                <w:i w:val="false"/>
                <w:color w:val="000000"/>
                <w:sz w:val="20"/>
              </w:rPr>
              <w:t xml:space="preserve">
"Тұрғын үй-коммуналдық инфрақұрылымды дамытудың 2023 – 2029 жылдарға арналған тұжырымдамасын бекіту туралы" Қазақстан Республикасы Үкіметінің 2022 жылғы </w:t>
            </w:r>
          </w:p>
          <w:p>
            <w:pPr>
              <w:spacing w:after="20"/>
              <w:ind w:left="20"/>
              <w:jc w:val="both"/>
            </w:pPr>
            <w:r>
              <w:rPr>
                <w:rFonts w:ascii="Times New Roman"/>
                <w:b w:val="false"/>
                <w:i w:val="false"/>
                <w:color w:val="000000"/>
                <w:sz w:val="20"/>
              </w:rPr>
              <w:t xml:space="preserve">23 қыркүйектегі № 736 </w:t>
            </w:r>
            <w:r>
              <w:rPr>
                <w:rFonts w:ascii="Times New Roman"/>
                <w:b w:val="false"/>
                <w:i w:val="false"/>
                <w:color w:val="000000"/>
                <w:sz w:val="20"/>
              </w:rPr>
              <w:t>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жауапты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(бұдан әрі – ҰЭМ)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органдар, "Бәйтерек" ұлттық басқарушы холдингі" АҚ (бұдан әрі – холдинг), оның ішінде холдинг тобына кіретін компаниялар (келісу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(бұдан әрі – ТМС) инвестициялық бағдарламалары шеңберінде электрмен, жылумен жабдықтаудың инженерлік желілерін және жылу энергиясын өндіру кезінде қолданылған активтерді салу және жаңғырту (реконструкциялау, күрделі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жылумен жабдықтаудың инженерлік желілерін және жылу энергиясын өндіру кезінде қолданылған активтерді салу мен жаңғыртуды  (реконструкциялауды, күрделі жөндеуді) қаржыландыру арқылы елдегі инженерлік-коммуникациялық инфрақұрылымды дамыту деңгейін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Мынадай нысаналы индикаторларға қол жеткізу:</w:t>
            </w:r>
          </w:p>
          <w:bookmarkEnd w:id="10"/>
          <w:p>
            <w:pPr>
              <w:spacing w:after="20"/>
              <w:ind w:left="20"/>
              <w:jc w:val="both"/>
            </w:pPr>
            <w:r>
              <w:rPr>
                <w:rFonts w:ascii="Times New Roman"/>
                <w:b w:val="false"/>
                <w:i w:val="false"/>
                <w:color w:val="000000"/>
                <w:sz w:val="20"/>
              </w:rPr>
              <w:t>
электрмен, жылумен жабдықтаудың инженерлік желілерінің және жылу энергиясын өндіру кезінде қолданылған активтердің тозу көрсеткішін жыл сайын ТМС мен реттеліп көрсетілетін қызметтерге байланысты орта есеппен 2-3 %-ға төмендету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республикалық бюджет (бұдан әрі – РБ) қаражаты және қаржыландырушы ұйымдардың қаражаты есебінен жүзеге асырылатын болады.</w:t>
            </w:r>
          </w:p>
        </w:tc>
      </w:tr>
    </w:tbl>
    <w:bookmarkStart w:name="z22" w:id="11"/>
    <w:p>
      <w:pPr>
        <w:spacing w:after="0"/>
        <w:ind w:left="0"/>
        <w:jc w:val="both"/>
      </w:pPr>
      <w:r>
        <w:rPr>
          <w:rFonts w:ascii="Times New Roman"/>
          <w:b w:val="false"/>
          <w:i w:val="false"/>
          <w:color w:val="000000"/>
          <w:sz w:val="28"/>
        </w:rPr>
        <w:t>
      Ескертпе:</w:t>
      </w:r>
    </w:p>
    <w:bookmarkEnd w:id="11"/>
    <w:bookmarkStart w:name="z23" w:id="12"/>
    <w:p>
      <w:pPr>
        <w:spacing w:after="0"/>
        <w:ind w:left="0"/>
        <w:jc w:val="both"/>
      </w:pPr>
      <w:r>
        <w:rPr>
          <w:rFonts w:ascii="Times New Roman"/>
          <w:b w:val="false"/>
          <w:i w:val="false"/>
          <w:color w:val="000000"/>
          <w:sz w:val="28"/>
        </w:rPr>
        <w:t>
      Бағдарламаның нысаналы индикаторларын орындау Бағдарламаны тиісті қаржы жылдарына арналған қаржыландыру көлеміне және қаржыландырылған ТМС санына байланысты болады.</w:t>
      </w:r>
    </w:p>
    <w:bookmarkEnd w:id="12"/>
    <w:bookmarkStart w:name="z24" w:id="13"/>
    <w:p>
      <w:pPr>
        <w:spacing w:after="0"/>
        <w:ind w:left="0"/>
        <w:jc w:val="left"/>
      </w:pPr>
      <w:r>
        <w:rPr>
          <w:rFonts w:ascii="Times New Roman"/>
          <w:b/>
          <w:i w:val="false"/>
          <w:color w:val="000000"/>
        </w:rPr>
        <w:t xml:space="preserve"> 2-бөлім. Кіріспе</w:t>
      </w:r>
    </w:p>
    <w:bookmarkEnd w:id="13"/>
    <w:bookmarkStart w:name="z25" w:id="14"/>
    <w:p>
      <w:pPr>
        <w:spacing w:after="0"/>
        <w:ind w:left="0"/>
        <w:jc w:val="both"/>
      </w:pPr>
      <w:r>
        <w:rPr>
          <w:rFonts w:ascii="Times New Roman"/>
          <w:b w:val="false"/>
          <w:i w:val="false"/>
          <w:color w:val="000000"/>
          <w:sz w:val="28"/>
        </w:rPr>
        <w:t xml:space="preserve">
      Қазақстан Республикасы Үкіметінің 2022 жылғы 23 қыркүйектегі № 736 қаулысымен бекітілген Тұрғын үй-коммуналдық инфрақұрылымды дамытудың 2023 – 2029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тұрғын үй қорын жаңарту мен ұлғайтуға, коммуналдық инфрақұрылымды жаңғырту мен дамытуға бағытталған шаралар қабылданады. Енгізіліп жатқан зияткерлік жүйелер мен цифрлық технологиялар ел халқының үміті мен мүддесін қанағаттандыруға бағытталады және тыныс-тіршіліктің базалық көрсетілетін қызметтеріне тең қолжетімділікті арттыруға ықпал етеді.</w:t>
      </w:r>
    </w:p>
    <w:bookmarkEnd w:id="14"/>
    <w:bookmarkStart w:name="z26" w:id="15"/>
    <w:p>
      <w:pPr>
        <w:spacing w:after="0"/>
        <w:ind w:left="0"/>
        <w:jc w:val="both"/>
      </w:pPr>
      <w:r>
        <w:rPr>
          <w:rFonts w:ascii="Times New Roman"/>
          <w:b w:val="false"/>
          <w:i w:val="false"/>
          <w:color w:val="000000"/>
          <w:sz w:val="28"/>
        </w:rPr>
        <w:t>
      Қазіргі болмыста тұрғын үй-коммуналдық шаруашылық (бұдан әрі – ТКШ) жобаларын қаржыландыру мақсатында нақты басымдық беру және ресурстарды оңтайлы бөлу үшін мемлекеттік органдардың, сондай-ақ РБ-ның, халықаралық қаржы ұйымдары мен Қазақстан Республикасы қаржы ұйымдарының күш-жігерін шоғырландыру ерекше маңызға ие болады.</w:t>
      </w:r>
    </w:p>
    <w:bookmarkEnd w:id="15"/>
    <w:bookmarkStart w:name="z27" w:id="16"/>
    <w:p>
      <w:pPr>
        <w:spacing w:after="0"/>
        <w:ind w:left="0"/>
        <w:jc w:val="both"/>
      </w:pPr>
      <w:r>
        <w:rPr>
          <w:rFonts w:ascii="Times New Roman"/>
          <w:b w:val="false"/>
          <w:i w:val="false"/>
          <w:color w:val="000000"/>
          <w:sz w:val="28"/>
        </w:rPr>
        <w:t>
      Халықтың тыныс-тіршілігіне қолайлы жағдай жасау мақсатында коммуналдық секторды, бірінші кезекте энергиямен жабдықтау (жылумен, электрмен жабдықтау) жүйелерін жаңғырту мен дамыту жөніндегі шаралар кешенін іске асыру қажет.</w:t>
      </w:r>
    </w:p>
    <w:bookmarkEnd w:id="16"/>
    <w:bookmarkStart w:name="z28" w:id="17"/>
    <w:p>
      <w:pPr>
        <w:spacing w:after="0"/>
        <w:ind w:left="0"/>
        <w:jc w:val="both"/>
      </w:pPr>
      <w:r>
        <w:rPr>
          <w:rFonts w:ascii="Times New Roman"/>
          <w:b w:val="false"/>
          <w:i w:val="false"/>
          <w:color w:val="000000"/>
          <w:sz w:val="28"/>
        </w:rPr>
        <w:t xml:space="preserve">
      Бағдарламаны іске асыру нәтижесінде: </w:t>
      </w:r>
    </w:p>
    <w:bookmarkEnd w:id="17"/>
    <w:bookmarkStart w:name="z29" w:id="18"/>
    <w:p>
      <w:pPr>
        <w:spacing w:after="0"/>
        <w:ind w:left="0"/>
        <w:jc w:val="both"/>
      </w:pPr>
      <w:r>
        <w:rPr>
          <w:rFonts w:ascii="Times New Roman"/>
          <w:b w:val="false"/>
          <w:i w:val="false"/>
          <w:color w:val="000000"/>
          <w:sz w:val="28"/>
        </w:rPr>
        <w:t>
      электрмен, жылумен жабдықтау жөніндегі инженерлік желілердің және жылу энергиясын өндіру кезінде қолданылған активтердің тозу көрсеткішін жыл сайын ТМС мен реттеліп көрсетілетін қызметтерге байланысты орта есеппен 2-3 %-ға төмендету;</w:t>
      </w:r>
    </w:p>
    <w:bookmarkEnd w:id="18"/>
    <w:bookmarkStart w:name="z30" w:id="19"/>
    <w:p>
      <w:pPr>
        <w:spacing w:after="0"/>
        <w:ind w:left="0"/>
        <w:jc w:val="both"/>
      </w:pPr>
      <w:r>
        <w:rPr>
          <w:rFonts w:ascii="Times New Roman"/>
          <w:b w:val="false"/>
          <w:i w:val="false"/>
          <w:color w:val="000000"/>
          <w:sz w:val="28"/>
        </w:rPr>
        <w:t>
      тартылатын инвестициялық қаражатты ұзақ мерзімді кезеңдерге қайта бөлу жолымен реттеліп көрсетілетін коммуналдық қызметтердің түпкілікті тарифтеріне түсетін қысымды төмендету күтіледі.</w:t>
      </w:r>
    </w:p>
    <w:bookmarkEnd w:id="19"/>
    <w:bookmarkStart w:name="z31" w:id="20"/>
    <w:p>
      <w:pPr>
        <w:spacing w:after="0"/>
        <w:ind w:left="0"/>
        <w:jc w:val="left"/>
      </w:pPr>
      <w:r>
        <w:rPr>
          <w:rFonts w:ascii="Times New Roman"/>
          <w:b/>
          <w:i w:val="false"/>
          <w:color w:val="000000"/>
        </w:rPr>
        <w:t xml:space="preserve"> 3-бөлім. Ағымдағы ахуалды талдау</w:t>
      </w:r>
    </w:p>
    <w:bookmarkEnd w:id="20"/>
    <w:bookmarkStart w:name="z32" w:id="21"/>
    <w:p>
      <w:pPr>
        <w:spacing w:after="0"/>
        <w:ind w:left="0"/>
        <w:jc w:val="both"/>
      </w:pPr>
      <w:r>
        <w:rPr>
          <w:rFonts w:ascii="Times New Roman"/>
          <w:b w:val="false"/>
          <w:i w:val="false"/>
          <w:color w:val="000000"/>
          <w:sz w:val="28"/>
        </w:rPr>
        <w:t>
      ТКШ саласы өзара байланысқан екі негізгі элемент болып табылады, олар:</w:t>
      </w:r>
    </w:p>
    <w:bookmarkEnd w:id="21"/>
    <w:bookmarkStart w:name="z33" w:id="22"/>
    <w:p>
      <w:pPr>
        <w:spacing w:after="0"/>
        <w:ind w:left="0"/>
        <w:jc w:val="both"/>
      </w:pPr>
      <w:r>
        <w:rPr>
          <w:rFonts w:ascii="Times New Roman"/>
          <w:b w:val="false"/>
          <w:i w:val="false"/>
          <w:color w:val="000000"/>
          <w:sz w:val="28"/>
        </w:rPr>
        <w:t>
      1) сумен, газбен, жылумен, электрмен жабдықтауды және су бұруды, жалпыға ортақ пайдаланылатын объектілерді және елді мекендердің аумағын абаттандыру мен күтіп-ұстауды қамтамасыз ететін жүйелерді қамтитын коммуналдық сектор;</w:t>
      </w:r>
    </w:p>
    <w:bookmarkEnd w:id="22"/>
    <w:bookmarkStart w:name="z34" w:id="23"/>
    <w:p>
      <w:pPr>
        <w:spacing w:after="0"/>
        <w:ind w:left="0"/>
        <w:jc w:val="both"/>
      </w:pPr>
      <w:r>
        <w:rPr>
          <w:rFonts w:ascii="Times New Roman"/>
          <w:b w:val="false"/>
          <w:i w:val="false"/>
          <w:color w:val="000000"/>
          <w:sz w:val="28"/>
        </w:rPr>
        <w:t>
      2) коммуналдық көрсетілетін қызметтердің негізгі тұтынушылары болып табылатын көпқабатты тұрғын үйлер мен жеке үй құрылыстарын қамтитын тұрғын үй секторы.</w:t>
      </w:r>
    </w:p>
    <w:bookmarkEnd w:id="23"/>
    <w:bookmarkStart w:name="z35" w:id="24"/>
    <w:p>
      <w:pPr>
        <w:spacing w:after="0"/>
        <w:ind w:left="0"/>
        <w:jc w:val="left"/>
      </w:pPr>
      <w:r>
        <w:rPr>
          <w:rFonts w:ascii="Times New Roman"/>
          <w:b/>
          <w:i w:val="false"/>
          <w:color w:val="000000"/>
        </w:rPr>
        <w:t xml:space="preserve"> 1-кіші бөлім. Жылумен жабдықтаудың ағымдағы жай-күйін бағалау</w:t>
      </w:r>
    </w:p>
    <w:bookmarkEnd w:id="24"/>
    <w:bookmarkStart w:name="z36" w:id="25"/>
    <w:p>
      <w:pPr>
        <w:spacing w:after="0"/>
        <w:ind w:left="0"/>
        <w:jc w:val="both"/>
      </w:pPr>
      <w:r>
        <w:rPr>
          <w:rFonts w:ascii="Times New Roman"/>
          <w:b w:val="false"/>
          <w:i w:val="false"/>
          <w:color w:val="000000"/>
          <w:sz w:val="28"/>
        </w:rPr>
        <w:t>
      2019 – 2022 жылдар аралығында республикадағы жылу желілерінің ұзындығы 300 километрге ұлғайып, алдыңғы 13,6 мың километрден 13,9 мың километрге жетті. Жөндеуді қажет ететін жылу желілерінің пайызы осы кезеңде 61 %-дан 54 %-ға дейін төмендеді.</w:t>
      </w:r>
    </w:p>
    <w:bookmarkEnd w:id="25"/>
    <w:bookmarkStart w:name="z37" w:id="26"/>
    <w:p>
      <w:pPr>
        <w:spacing w:after="0"/>
        <w:ind w:left="0"/>
        <w:jc w:val="both"/>
      </w:pPr>
      <w:r>
        <w:rPr>
          <w:rFonts w:ascii="Times New Roman"/>
          <w:b w:val="false"/>
          <w:i w:val="false"/>
          <w:color w:val="000000"/>
          <w:sz w:val="28"/>
        </w:rPr>
        <w:t>
      Жылумен жабдықтау жылу электр орталықтары мен қазандықтарға сүйенетін орталықтандырылған және жергілікті жүйелер арқылы жүзеге асырылады. 2022 жылғы жағдай бойынша елде 798 автономды көзді қоса алғанда, 2865 жылумен жабдықтау көзі болды. 2023 жылғы 1 қаңтардағы жағдай бойынша барлық жылу көздерінің жалпы қуаты сағатына 37566,7 гигакалорийді құрады. Жылу энергиясын өндіру 2022 жылы 95,6 млн гигакалорийғе жетті, оның  негізгі үлесі ЖЭО (55,9 млн гигакалорий) мен қазандықтарға (32,6 млн гигакалорий) тиесілі болды.</w:t>
      </w:r>
    </w:p>
    <w:bookmarkEnd w:id="2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Жылу желілеріне 1734299 абонент қосылған, олардың көпшілігі – тұрмыстық тұтынушылар (1596910 абонент). Кредит беру және субсидиялау шеңберінде 2019 – 2022 жылдар аралығында 220,7 километр жылумен жабдықтау желілерін салу және реконструкциялау бойынша 60 жоба іске асырылды, бұл авариялар санын 14 %-ға азайтуға мүмкіндік берді.</w:t>
      </w:r>
      <w:r>
        <w:br/>
      </w:r>
      <w:r>
        <w:rPr>
          <w:rFonts w:ascii="Times New Roman"/>
          <w:b w:val="false"/>
          <w:i w:val="false"/>
          <w:color w:val="000000"/>
          <w:sz w:val="28"/>
        </w:rPr>
        <w:t>
</w:t>
      </w:r>
    </w:p>
    <w:bookmarkStart w:name="z39" w:id="27"/>
    <w:p>
      <w:pPr>
        <w:spacing w:after="0"/>
        <w:ind w:left="0"/>
        <w:jc w:val="left"/>
      </w:pPr>
      <w:r>
        <w:rPr>
          <w:rFonts w:ascii="Times New Roman"/>
          <w:b/>
          <w:i w:val="false"/>
          <w:color w:val="000000"/>
        </w:rPr>
        <w:t xml:space="preserve"> 2-кіші бөлім. Электрмен жабдықтаудың ағымдағы жай-күйін бағалау</w:t>
      </w:r>
    </w:p>
    <w:bookmarkEnd w:id="27"/>
    <w:bookmarkStart w:name="z40" w:id="28"/>
    <w:p>
      <w:pPr>
        <w:spacing w:after="0"/>
        <w:ind w:left="0"/>
        <w:jc w:val="both"/>
      </w:pPr>
      <w:r>
        <w:rPr>
          <w:rFonts w:ascii="Times New Roman"/>
          <w:b w:val="false"/>
          <w:i w:val="false"/>
          <w:color w:val="000000"/>
          <w:sz w:val="28"/>
        </w:rPr>
        <w:t>
      Қазақстан Республикасының Бірыңғай энергетикалық жүйесі электр станцияларының белгіленген қуаты 2024 жылғы 1 қаңтардағы жағдай бойынша 24641,9 мегаватты, қолданыстағы қуаты 20428,1 мегаватты құрады.</w:t>
      </w:r>
    </w:p>
    <w:bookmarkEnd w:id="28"/>
    <w:bookmarkStart w:name="z41" w:id="29"/>
    <w:p>
      <w:pPr>
        <w:spacing w:after="0"/>
        <w:ind w:left="0"/>
        <w:jc w:val="both"/>
      </w:pPr>
      <w:r>
        <w:rPr>
          <w:rFonts w:ascii="Times New Roman"/>
          <w:b w:val="false"/>
          <w:i w:val="false"/>
          <w:color w:val="000000"/>
          <w:sz w:val="28"/>
        </w:rPr>
        <w:t xml:space="preserve">
      Елімізде электр энергиясын өндіруді әртүрлі меншік нысанындағы 222 электр станциясы жүзеге асырады. 2022 жылы 115 млрд киловатт-сағат электр энергиясы өндірілді. Өндіру 112,8 млрд киловатт-сағатты құрады, шектес елдерден электр энергиясының импорты – 3,4 млрд киловатт-сағат, экспорт – 1,4 млрд киловатт-сағат.       </w:t>
      </w:r>
    </w:p>
    <w:bookmarkEnd w:id="29"/>
    <w:bookmarkStart w:name="z42" w:id="30"/>
    <w:p>
      <w:pPr>
        <w:spacing w:after="0"/>
        <w:ind w:left="0"/>
        <w:jc w:val="both"/>
      </w:pPr>
      <w:r>
        <w:rPr>
          <w:rFonts w:ascii="Times New Roman"/>
          <w:b w:val="false"/>
          <w:i w:val="false"/>
          <w:color w:val="000000"/>
          <w:sz w:val="28"/>
        </w:rPr>
        <w:t>
      Электрмен жабдықтауда электр энергиясын есептеуіштермен қамтамасыз етілу 100 %-ға жетеді, алайда бұл есепке алу аспаптарының көпшілігі ескірген және энергия тиімділігіне қойылатын заманауи талаптарға сәйкес келмейді. Ескі индукциялық есептеуіштер төмен токпен жұмыс істейтін заманауи электр аспаптарының тұтынуын есепке алуға қауқарсыз, осының салдарынан коммерциялық шығындар пайда болады. Бұл әсіресе, ел өңірлерінің көп бөлігіне тән температура төмендеген кезде өте өзекті, мұнда индукциялық аспаптардың қателік жіберуі көптеп кездеседі. Бұдан басқа, тозған құрылғылар энергия нақты тұтынылмаса да, көрсеткіштерді ұлғайтып, тұтынуды өздігінен есепке ала беруі мүмкін.</w:t>
      </w:r>
    </w:p>
    <w:bookmarkEnd w:id="30"/>
    <w:bookmarkStart w:name="z43" w:id="31"/>
    <w:p>
      <w:pPr>
        <w:spacing w:after="0"/>
        <w:ind w:left="0"/>
        <w:jc w:val="both"/>
      </w:pPr>
      <w:r>
        <w:rPr>
          <w:rFonts w:ascii="Times New Roman"/>
          <w:b w:val="false"/>
          <w:i w:val="false"/>
          <w:color w:val="000000"/>
          <w:sz w:val="28"/>
        </w:rPr>
        <w:t xml:space="preserve">
      Қазіргі таңда индукциялық есептеуіштер әлі де мемлекеттік өлшеу  құралдарының тізіліміне енгізілген және салыстырып тексеру үшін қолданылады, бұл оларды әрі қарай пайдалануды жалғастыруға мүмкіндік береді. Алайда осы модельдерді біртіндеп пайдаланудан шығару және көрсеткіштерді қашықтан алу мүмкіндігі бар заманауи есепке алу аспаптарына ауысу қажет, бұл есепке алудың дәлдігін жақсартады және электрмен жабдықтау жүйесінің тиімділігін арттырады.   </w:t>
      </w:r>
    </w:p>
    <w:bookmarkEnd w:id="31"/>
    <w:bookmarkStart w:name="z44" w:id="32"/>
    <w:p>
      <w:pPr>
        <w:spacing w:after="0"/>
        <w:ind w:left="0"/>
        <w:jc w:val="both"/>
      </w:pPr>
      <w:r>
        <w:rPr>
          <w:rFonts w:ascii="Times New Roman"/>
          <w:b w:val="false"/>
          <w:i w:val="false"/>
          <w:color w:val="000000"/>
          <w:sz w:val="28"/>
        </w:rPr>
        <w:t>
      Коммуналдық инфрақұрылымды өрістетудің және уақтылы жаңартудың негізгі проблемалары мыналар болып табылады:</w:t>
      </w:r>
    </w:p>
    <w:bookmarkEnd w:id="32"/>
    <w:bookmarkStart w:name="z45" w:id="33"/>
    <w:p>
      <w:pPr>
        <w:spacing w:after="0"/>
        <w:ind w:left="0"/>
        <w:jc w:val="both"/>
      </w:pPr>
      <w:r>
        <w:rPr>
          <w:rFonts w:ascii="Times New Roman"/>
          <w:b w:val="false"/>
          <w:i w:val="false"/>
          <w:color w:val="000000"/>
          <w:sz w:val="28"/>
        </w:rPr>
        <w:t>
      коммуналдық инфрақұрылымды жаңғыртуға қажетті қаржы ресурстарына сұраныстың жоғары болуы;</w:t>
      </w:r>
    </w:p>
    <w:bookmarkEnd w:id="33"/>
    <w:bookmarkStart w:name="z46" w:id="34"/>
    <w:p>
      <w:pPr>
        <w:spacing w:after="0"/>
        <w:ind w:left="0"/>
        <w:jc w:val="both"/>
      </w:pPr>
      <w:r>
        <w:rPr>
          <w:rFonts w:ascii="Times New Roman"/>
          <w:b w:val="false"/>
          <w:i w:val="false"/>
          <w:color w:val="000000"/>
          <w:sz w:val="28"/>
        </w:rPr>
        <w:t>
      тұтынушылар саны аз шағын және орташа қалалардағы коммуналдық инфрақұрылым жүйелері мен объектілерінің инвесторлар үшін тартымсыздығы;</w:t>
      </w:r>
    </w:p>
    <w:bookmarkEnd w:id="34"/>
    <w:bookmarkStart w:name="z47" w:id="35"/>
    <w:p>
      <w:pPr>
        <w:spacing w:after="0"/>
        <w:ind w:left="0"/>
        <w:jc w:val="both"/>
      </w:pPr>
      <w:r>
        <w:rPr>
          <w:rFonts w:ascii="Times New Roman"/>
          <w:b w:val="false"/>
          <w:i w:val="false"/>
          <w:color w:val="000000"/>
          <w:sz w:val="28"/>
        </w:rPr>
        <w:t>
      өңірлер бөлінісінде білікті кадрлардың, коммуналдық инфрақұрылым желілерінің ұзындығы мен жай-күйі бойынша анық ақпараттың болмауы;</w:t>
      </w:r>
    </w:p>
    <w:bookmarkEnd w:id="35"/>
    <w:bookmarkStart w:name="z48" w:id="36"/>
    <w:p>
      <w:pPr>
        <w:spacing w:after="0"/>
        <w:ind w:left="0"/>
        <w:jc w:val="both"/>
      </w:pPr>
      <w:r>
        <w:rPr>
          <w:rFonts w:ascii="Times New Roman"/>
          <w:b w:val="false"/>
          <w:i w:val="false"/>
          <w:color w:val="000000"/>
          <w:sz w:val="28"/>
        </w:rPr>
        <w:t>
      ТКШ саласында жаңа технологияларды енгізу дәрежесінің төмен болуы;</w:t>
      </w:r>
    </w:p>
    <w:bookmarkEnd w:id="36"/>
    <w:bookmarkStart w:name="z49" w:id="37"/>
    <w:p>
      <w:pPr>
        <w:spacing w:after="0"/>
        <w:ind w:left="0"/>
        <w:jc w:val="both"/>
      </w:pPr>
      <w:r>
        <w:rPr>
          <w:rFonts w:ascii="Times New Roman"/>
          <w:b w:val="false"/>
          <w:i w:val="false"/>
          <w:color w:val="000000"/>
          <w:sz w:val="28"/>
        </w:rPr>
        <w:t>
      тұрғындардың жаңа технологиялардың, ресурстардың тұтынылуын есепке алу жүйелерінің артықшылықтары туралы хабардар болуы деңгейінің төмендігі.</w:t>
      </w:r>
    </w:p>
    <w:bookmarkEnd w:id="37"/>
    <w:bookmarkStart w:name="z50" w:id="38"/>
    <w:p>
      <w:pPr>
        <w:spacing w:after="0"/>
        <w:ind w:left="0"/>
        <w:jc w:val="left"/>
      </w:pPr>
      <w:r>
        <w:rPr>
          <w:rFonts w:ascii="Times New Roman"/>
          <w:b/>
          <w:i w:val="false"/>
          <w:color w:val="000000"/>
        </w:rPr>
        <w:t xml:space="preserve"> 4-бөлім. Бағдарламаның мақсаты, міндеті, нысаналы индикаторлары мен оны іске асыру нәтижелерінің көрсеткіштері</w:t>
      </w:r>
    </w:p>
    <w:bookmarkEnd w:id="38"/>
    <w:bookmarkStart w:name="z51" w:id="39"/>
    <w:p>
      <w:pPr>
        <w:spacing w:after="0"/>
        <w:ind w:left="0"/>
        <w:jc w:val="both"/>
      </w:pPr>
      <w:r>
        <w:rPr>
          <w:rFonts w:ascii="Times New Roman"/>
          <w:b w:val="false"/>
          <w:i w:val="false"/>
          <w:color w:val="000000"/>
          <w:sz w:val="28"/>
        </w:rPr>
        <w:t>
      Бағдарламаның мақсаты электрмен, жылумен жабдықтаудың  инженерлік желілерін және ТМС жылу энергиясын өндіру кезінде қолданылған активтерді салуды және жаңғыртуды (реконструкциялауды, күрделі жөндеуді) қаржыландыру болып табылады.</w:t>
      </w:r>
    </w:p>
    <w:bookmarkEnd w:id="39"/>
    <w:bookmarkStart w:name="z52" w:id="40"/>
    <w:p>
      <w:pPr>
        <w:spacing w:after="0"/>
        <w:ind w:left="0"/>
        <w:jc w:val="both"/>
      </w:pPr>
      <w:r>
        <w:rPr>
          <w:rFonts w:ascii="Times New Roman"/>
          <w:b w:val="false"/>
          <w:i w:val="false"/>
          <w:color w:val="000000"/>
          <w:sz w:val="28"/>
        </w:rPr>
        <w:t>
      Осы мақсатқа қол жеткізу мынадай нысаналы индикаторлармен өлшенетін болады: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41"/>
          <w:p>
            <w:pPr>
              <w:spacing w:after="20"/>
              <w:ind w:left="20"/>
              <w:jc w:val="both"/>
            </w:pPr>
            <w:r>
              <w:rPr>
                <w:rFonts w:ascii="Times New Roman"/>
                <w:b/>
                <w:i w:val="false"/>
                <w:color w:val="000000"/>
                <w:sz w:val="20"/>
              </w:rPr>
              <w:t>№</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жөніндегі инженерлік желілердің және жылу энергиясын өндіру кезінде қолданылған активтердің орташа тозу көрсеткішін төмендету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жөніндегі инженерлік желілердің орташа тозу көрсеткішін төмендету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54" w:id="42"/>
    <w:p>
      <w:pPr>
        <w:spacing w:after="0"/>
        <w:ind w:left="0"/>
        <w:jc w:val="both"/>
      </w:pPr>
      <w:r>
        <w:rPr>
          <w:rFonts w:ascii="Times New Roman"/>
          <w:b w:val="false"/>
          <w:i w:val="false"/>
          <w:color w:val="000000"/>
          <w:sz w:val="28"/>
        </w:rPr>
        <w:t>
      Ескертпе:</w:t>
      </w:r>
    </w:p>
    <w:bookmarkEnd w:id="42"/>
    <w:bookmarkStart w:name="z55" w:id="43"/>
    <w:p>
      <w:pPr>
        <w:spacing w:after="0"/>
        <w:ind w:left="0"/>
        <w:jc w:val="both"/>
      </w:pPr>
      <w:r>
        <w:rPr>
          <w:rFonts w:ascii="Times New Roman"/>
          <w:b w:val="false"/>
          <w:i w:val="false"/>
          <w:color w:val="000000"/>
          <w:sz w:val="28"/>
        </w:rPr>
        <w:t>
      2025 жыл (1 жыл) базалық жыл болып есептеледі және индикаторларға қол жеткізу тиісті қаржы жылдарына арналған қаржыландыру көлеміне, қаржыландырылған ТМС санына байланысты айқындалады.</w:t>
      </w:r>
    </w:p>
    <w:bookmarkEnd w:id="43"/>
    <w:bookmarkStart w:name="z56" w:id="44"/>
    <w:p>
      <w:pPr>
        <w:spacing w:after="0"/>
        <w:ind w:left="0"/>
        <w:jc w:val="left"/>
      </w:pPr>
      <w:r>
        <w:rPr>
          <w:rFonts w:ascii="Times New Roman"/>
          <w:b/>
          <w:i w:val="false"/>
          <w:color w:val="000000"/>
        </w:rPr>
        <w:t xml:space="preserve"> 5-бөлім. Бағдарламаның негізгі бағыттары, қойылған мақсаттарға қол жеткізу жолдары және тиісті шаралар</w:t>
      </w:r>
    </w:p>
    <w:bookmarkEnd w:id="44"/>
    <w:p>
      <w:pPr>
        <w:spacing w:after="0"/>
        <w:ind w:left="0"/>
        <w:jc w:val="both"/>
      </w:pPr>
      <w:r>
        <w:rPr>
          <w:rFonts w:ascii="Times New Roman"/>
          <w:b w:val="false"/>
          <w:i w:val="false"/>
          <w:color w:val="ff0000"/>
          <w:sz w:val="28"/>
        </w:rPr>
        <w:t xml:space="preserve">
      Ескерту. 5-бөлім жаңа редакцияда - ҚР Үкіметінің 24.10.2024 </w:t>
      </w:r>
      <w:r>
        <w:rPr>
          <w:rFonts w:ascii="Times New Roman"/>
          <w:b w:val="false"/>
          <w:i w:val="false"/>
          <w:color w:val="ff0000"/>
          <w:sz w:val="28"/>
        </w:rPr>
        <w:t>№ 882</w:t>
      </w:r>
      <w:r>
        <w:rPr>
          <w:rFonts w:ascii="Times New Roman"/>
          <w:b w:val="false"/>
          <w:i w:val="false"/>
          <w:color w:val="ff0000"/>
          <w:sz w:val="28"/>
        </w:rPr>
        <w:t xml:space="preserve"> қаулысымен.</w:t>
      </w:r>
    </w:p>
    <w:bookmarkStart w:name="z57" w:id="45"/>
    <w:p>
      <w:pPr>
        <w:spacing w:after="0"/>
        <w:ind w:left="0"/>
        <w:jc w:val="both"/>
      </w:pPr>
      <w:r>
        <w:rPr>
          <w:rFonts w:ascii="Times New Roman"/>
          <w:b w:val="false"/>
          <w:i w:val="false"/>
          <w:color w:val="000000"/>
          <w:sz w:val="28"/>
        </w:rPr>
        <w:t>
      Бағдарлама тұрғын-үй коммуналдық секторды, атап айтқанда электрмен, жылумен жабдықтаудың инженерлік желілерін және ТМС жылу энергиясын өндіру кезінде қолданылған активтерді жаңғырту және дамыту бағытында іске асырылатын болады.</w:t>
      </w:r>
    </w:p>
    <w:bookmarkEnd w:id="45"/>
    <w:p>
      <w:pPr>
        <w:spacing w:after="0"/>
        <w:ind w:left="0"/>
        <w:jc w:val="both"/>
      </w:pPr>
      <w:r>
        <w:rPr>
          <w:rFonts w:ascii="Times New Roman"/>
          <w:b w:val="false"/>
          <w:i w:val="false"/>
          <w:color w:val="000000"/>
          <w:sz w:val="28"/>
        </w:rPr>
        <w:t>
      Электрмен, жылумен жабдықтау жөніндегі инженерлік желілерді салу және жаңғырту (реконструкциялау, күрделі жөндеу) саласындағы жобаларды және ТМС жылу энергиясын өндіру кезінде қолданылған активтерді қаржыландыру ТМС меншікті қаражатынан басқа, қаржыландырушы ұйымдардың қаражаты және республикалық бюджет қаражаты есебінен 60/40 пропорциясында жүзеге асырылатын болады.</w:t>
      </w:r>
    </w:p>
    <w:p>
      <w:pPr>
        <w:spacing w:after="0"/>
        <w:ind w:left="0"/>
        <w:jc w:val="both"/>
      </w:pPr>
      <w:r>
        <w:rPr>
          <w:rFonts w:ascii="Times New Roman"/>
          <w:b w:val="false"/>
          <w:i w:val="false"/>
          <w:color w:val="000000"/>
          <w:sz w:val="28"/>
        </w:rPr>
        <w:t>
      Сонымен қатар бюджеттік кредит беру есебінен салуға және жаңғыртуға (реконструкциялауға, күрделі жөндеуге) бағытталған шығыстар қаржыландырылады.</w:t>
      </w:r>
    </w:p>
    <w:p>
      <w:pPr>
        <w:spacing w:after="0"/>
        <w:ind w:left="0"/>
        <w:jc w:val="both"/>
      </w:pPr>
      <w:r>
        <w:rPr>
          <w:rFonts w:ascii="Times New Roman"/>
          <w:b w:val="false"/>
          <w:i w:val="false"/>
          <w:color w:val="000000"/>
          <w:sz w:val="28"/>
        </w:rPr>
        <w:t>
      Бұл ретте ТМС көрсетілген жобаларын қаржыландыру мынадай тетіктерді пайдалана отырып жүзеге асырылатын болады:</w:t>
      </w:r>
    </w:p>
    <w:p>
      <w:pPr>
        <w:spacing w:after="0"/>
        <w:ind w:left="0"/>
        <w:jc w:val="both"/>
      </w:pPr>
      <w:r>
        <w:rPr>
          <w:rFonts w:ascii="Times New Roman"/>
          <w:b w:val="false"/>
          <w:i w:val="false"/>
          <w:color w:val="000000"/>
          <w:sz w:val="28"/>
        </w:rPr>
        <w:t>
      қаржыландырушы ұйымдардың ТМС-ны тікелей кредиттеуі;</w:t>
      </w:r>
    </w:p>
    <w:p>
      <w:pPr>
        <w:spacing w:after="0"/>
        <w:ind w:left="0"/>
        <w:jc w:val="both"/>
      </w:pPr>
      <w:r>
        <w:rPr>
          <w:rFonts w:ascii="Times New Roman"/>
          <w:b w:val="false"/>
          <w:i w:val="false"/>
          <w:color w:val="000000"/>
          <w:sz w:val="28"/>
        </w:rPr>
        <w:t xml:space="preserve">
      ТМС-ны жергілікті атқарушы органдардың мемлекеттік бағалы қағаздарды шығаруы есебінен қаржыландыру. </w:t>
      </w:r>
    </w:p>
    <w:bookmarkStart w:name="z61" w:id="46"/>
    <w:p>
      <w:pPr>
        <w:spacing w:after="0"/>
        <w:ind w:left="0"/>
        <w:jc w:val="left"/>
      </w:pPr>
      <w:r>
        <w:rPr>
          <w:rFonts w:ascii="Times New Roman"/>
          <w:b/>
          <w:i w:val="false"/>
          <w:color w:val="000000"/>
        </w:rPr>
        <w:t xml:space="preserve"> 3-кіші бөлім. Қаржыландырушы ұйымдардың табиғи монополия субъектілеріне тікелей кредит беруі мынадай негізгі шарттарда жүзеге асырылады: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оның ішінде холдинг тобына кіретін компаниялар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Электрмен, жылумен жабдықтау жөніндегі инженерлік желілердің және жылу энергиясын өндіру кезінде қолданылған активтердің тозу көрсеткіші 55 %-дан асатын  заңды тұлғалар:</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кәсіпорындар (бұдан </w:t>
            </w:r>
          </w:p>
          <w:p>
            <w:pPr>
              <w:spacing w:after="20"/>
              <w:ind w:left="20"/>
              <w:jc w:val="both"/>
            </w:pPr>
            <w:r>
              <w:rPr>
                <w:rFonts w:ascii="Times New Roman"/>
                <w:b w:val="false"/>
                <w:i w:val="false"/>
                <w:color w:val="000000"/>
                <w:sz w:val="20"/>
              </w:rPr>
              <w:t>әрі – мемлекеттік қарыз алушылар);</w:t>
            </w:r>
          </w:p>
          <w:p>
            <w:pPr>
              <w:spacing w:after="20"/>
              <w:ind w:left="20"/>
              <w:jc w:val="both"/>
            </w:pPr>
            <w:r>
              <w:rPr>
                <w:rFonts w:ascii="Times New Roman"/>
                <w:b w:val="false"/>
                <w:i w:val="false"/>
                <w:color w:val="000000"/>
                <w:sz w:val="20"/>
              </w:rPr>
              <w:t xml:space="preserve">
акционерлік қоғамдар, жауапкершілігі шектеулі серіктестіктер (бұдан </w:t>
            </w:r>
          </w:p>
          <w:p>
            <w:pPr>
              <w:spacing w:after="20"/>
              <w:ind w:left="20"/>
              <w:jc w:val="both"/>
            </w:pPr>
            <w:r>
              <w:rPr>
                <w:rFonts w:ascii="Times New Roman"/>
                <w:b w:val="false"/>
                <w:i w:val="false"/>
                <w:color w:val="000000"/>
                <w:sz w:val="20"/>
              </w:rPr>
              <w:t>әрі – мемлекеттік емес қарыз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ТМС-ның инвестициялық жобаларын іріктеудің негізгі өлшем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xml:space="preserve">
ТМС-ның инвестициялық жобасын қаржыландырудың басым шарты:  </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электрмен, жылумен жабдықтау жөніндегі  инженерлік желілердің және жылу энергиясын өндіру кезінде іске қосылған активтердің тозу көрсеткіші 55 %-дан асады (ҰЭМ-нің ақпараты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жобалық шешімдердің технологиялық және техникалық негізділігі;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инвестициялық бағдарлама бойынша Бағдарлама шеңберінде тартылған қаражат көлемін және міндеттемелерді ескергенде қарыз алушының ТКШ көрсетілетін қызметтеріне тарифтің жыл сайынғы жоспарланған өсімі туралы растайтын құжаттың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осы құжатта сыйақыны ескергенде негізгі борышты өтеуге қажетті шығындарды ТКШ көрсетілетін қызметтерінің тариф мөлшеріне қосу туралы мемлекеттік органның міндеттемелері оларға қызмет көрсету мүмкіндігінің болмауына байланысты қарыз алушының қарызын  қаржыландырушы ұйым тарапынан қайта құрылымдауды жүргізу  көзделуге тиіс.</w:t>
            </w:r>
          </w:p>
          <w:p>
            <w:pPr>
              <w:spacing w:after="20"/>
              <w:ind w:left="20"/>
              <w:jc w:val="both"/>
            </w:pPr>
            <w:r>
              <w:rPr>
                <w:rFonts w:ascii="Times New Roman"/>
                <w:b w:val="false"/>
                <w:i w:val="false"/>
                <w:color w:val="000000"/>
                <w:sz w:val="20"/>
              </w:rPr>
              <w:t xml:space="preserve">
Қаржыландыруға өтінім берген сәтте үшінші тұлғалардан тартылған қарыздар немесе бюджетке төленетін төлемдер бойынша мерзімі 90 (тоқсан) күннен асып кеткен өтелмеген берешектің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 сараптамасының нәтижелері бойынша әрбір қарыз алушы бойынша жеке айқындалады, бұл ретте қарыздың ең төмен сомасы 1000000000 (бір миллиард) теңгені құрайды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үшін қарыз сомасының қолжетімділік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(2029 жыл да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 әрбір қарыздың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жеңілдікті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пен сыйақыны төлеу бойынша –  тиісті шарттың талаптарына сәйкес, бірақ банктік қарыз шартына қол қойылған күннен бастап 24 (жиырма төрт) айдан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өзінің қатысуының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мемлекеттік емес қарыз алушылар – жоба құнының 10 %-ы;</w:t>
            </w:r>
          </w:p>
          <w:bookmarkEnd w:id="49"/>
          <w:p>
            <w:pPr>
              <w:spacing w:after="20"/>
              <w:ind w:left="20"/>
              <w:jc w:val="both"/>
            </w:pPr>
            <w:r>
              <w:rPr>
                <w:rFonts w:ascii="Times New Roman"/>
                <w:b w:val="false"/>
                <w:i w:val="false"/>
                <w:color w:val="000000"/>
                <w:sz w:val="20"/>
              </w:rPr>
              <w:t>
мемлекеттік қарыз алушылар – жоба құнының 0 %-ынан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үшін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11,19 (он бір бүтін,  жүзден он тоғыз) </w:t>
            </w:r>
          </w:p>
          <w:p>
            <w:pPr>
              <w:spacing w:after="20"/>
              <w:ind w:left="20"/>
              <w:jc w:val="both"/>
            </w:pPr>
            <w:r>
              <w:rPr>
                <w:rFonts w:ascii="Times New Roman"/>
                <w:b w:val="false"/>
                <w:i w:val="false"/>
                <w:color w:val="000000"/>
                <w:sz w:val="20"/>
              </w:rPr>
              <w:t>%-дан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қаржыландырушы ұйымдардың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Қаржыландырушы ұйымның құрылыс және жаңғырту (реконструкциялау, күрделі жөндеу) жүргізу кезеңіне сарапшы (қаржы-техникалық консультант) тартуына байланысты шығыстар қарыз алушы тарапынан өтеледі.</w:t>
            </w:r>
          </w:p>
          <w:bookmarkEnd w:id="50"/>
          <w:p>
            <w:pPr>
              <w:spacing w:after="20"/>
              <w:ind w:left="20"/>
              <w:jc w:val="both"/>
            </w:pPr>
            <w:r>
              <w:rPr>
                <w:rFonts w:ascii="Times New Roman"/>
                <w:b w:val="false"/>
                <w:i w:val="false"/>
                <w:color w:val="000000"/>
                <w:sz w:val="20"/>
              </w:rPr>
              <w:t>
Бұл ретте қарыз алушы аталған сарапшыларды өзі тартып, олар көрсететін қызметке өзі ақы төлей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(кредит беру, қаржыландыру шарттарын өзгерту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Қолданылмайды.</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Бұл ретте қаржыландырушы ұйым құрылыс және жаңғырту (реконструкциялауды, күрделі жөндеуді) жүргізу кезеңіне сарапшының (қаржы-техникалық консультанттың) қызметтеріне ақы төлеген жағдайда шығыстарды қаржыландырушы ұйымның қарыз алушысы комиссия түрінде төлейді.</w:t>
            </w:r>
          </w:p>
          <w:p>
            <w:pPr>
              <w:spacing w:after="20"/>
              <w:ind w:left="20"/>
              <w:jc w:val="both"/>
            </w:pPr>
            <w:r>
              <w:rPr>
                <w:rFonts w:ascii="Times New Roman"/>
                <w:b w:val="false"/>
                <w:i w:val="false"/>
                <w:color w:val="000000"/>
                <w:sz w:val="20"/>
              </w:rPr>
              <w:t>
Қарыз алушы аталған сарапшыларды өзі тартып, олар көрсететін қызметке өзі ақы төлеген жағдайда комиссия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міндеттемелерінің орындалуын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Тиісті өңірде қызметін жүзеге асыратын әлеуметтік-кәсіпкерлік корпорацияның кепілдігі (мемлекеттік қарыз алушылар бойынша);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акционерлерінің/қатысушыларының және түпкілікті бенефициарларының кепілдіктері  (мемлекеттік емес қарыз алушылар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қарыз алушының шығыс операцияларын жасауды бақылау туралы келісімнің шеңберінде қарыз алушының агент-банктегі шотына түсетін ақша қаражаты;</w:t>
            </w:r>
          </w:p>
          <w:p>
            <w:pPr>
              <w:spacing w:after="20"/>
              <w:ind w:left="20"/>
              <w:jc w:val="both"/>
            </w:pPr>
            <w:r>
              <w:rPr>
                <w:rFonts w:ascii="Times New Roman"/>
                <w:b w:val="false"/>
                <w:i w:val="false"/>
                <w:color w:val="000000"/>
                <w:sz w:val="20"/>
              </w:rPr>
              <w:t>
жылжымалы/жылжымайтын мүлік түріндегі өзге де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Қарыз алушы тарапынан міндеттемелер</w:t>
            </w:r>
          </w:p>
          <w:bookmarkEnd w:id="5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4"/>
          <w:p>
            <w:pPr>
              <w:spacing w:after="20"/>
              <w:ind w:left="20"/>
              <w:jc w:val="both"/>
            </w:pPr>
            <w:r>
              <w:rPr>
                <w:rFonts w:ascii="Times New Roman"/>
                <w:b w:val="false"/>
                <w:i w:val="false"/>
                <w:color w:val="000000"/>
                <w:sz w:val="20"/>
              </w:rPr>
              <w:t>
Қаржыландырушы ұйым, қарыз алушы және агент-банк арасындағы қарыз алушының шығыс операцияларының жасалуын бақылау туралы келісімнің жасалуы, ол мынадай шарттарды қамтиды, бірақ көрсетілгенмен шектелмейді: агент-банктің кредиттік құралды ұсыну туралы шарттың қолданылу мерзімі аяқталғанға дейін қарыз алушының арнайы ағымдағы шотындағы  төмендемейтін қалдықты қарыз алушының қаржыландырушы ұйым алдындағы міндеттемелерін (негізгі борыш, сыйақы, комиссия) жыл сайынғы өтеу сомасына қолдау міндеттемесі;</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емес қарыз алушының акционерлерімен/қатысушыларымен және түпкілікті бенефициарларымен кепілдік шарттарын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қаржыландырушы ұйым, қарыз алушы, қарыз алушының акционерлері/қатысушылары арасында электрмен, жылумен жабдықтаудың инженерлік желілерін және жылу энергиясын өндіру кезінде қолданылған активтерді салуды және жаңғыртуды (реконструкциялауды, күрделі жөндеуді) қаржыландыру туралы келісім жасасу, қалған жұмыстарды қарыз алушының акционерлері/қатысушылары (мемлекеттік емес қарыз алушылар бойынша) қаржыландыруға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қаржыландыру ұйымға жыл сайынғы негізде ТКШ көрсетілетін қызметтеріне ақы төлеу жөніндегі міндеттемелерді  тұтынушылар тарапынан орындаудың жылдық пайызы туралы ақпарат беру;</w:t>
            </w:r>
          </w:p>
          <w:p>
            <w:pPr>
              <w:spacing w:after="20"/>
              <w:ind w:left="20"/>
              <w:jc w:val="both"/>
            </w:pPr>
            <w:r>
              <w:rPr>
                <w:rFonts w:ascii="Times New Roman"/>
                <w:b w:val="false"/>
                <w:i w:val="false"/>
                <w:color w:val="000000"/>
                <w:sz w:val="20"/>
              </w:rPr>
              <w:t>
электрмен, жылумен жабдықтаудың инженерлік желілерін салу және жаңғырту (реконструкциялау, күрделі жөндеу) жөніндегі жұмыстарды және жылу энергиясын өндіру кезінде қолданылған активтерді  жүргізу бойынша мердігер ұйымдармен жасалатын шарттарда мердігер ұйымдардың қарыз алушылардың пайдасына міндеттемелердің орындалуына банктік кепілдік беру қажеттігі туралы міндеттемелерін көздеу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тарапынан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ұйымға әрбір қарыз алушы бойынша қарыз алушының міндеттемелерін жабатын (қарыз алушының бүкіл қарыз мерзімі ішінде) ТКШ көрсетілетін қызметтеріне тарифтердің мөлшерін бекіту туралы шешімді (белгіленген кезеңділікпен)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мониторингі қаржыландырушы ұйымның ішкі актілеріне сәйкес жүзеге асырылады</w:t>
            </w:r>
          </w:p>
        </w:tc>
      </w:tr>
    </w:tbl>
    <w:bookmarkStart w:name="z81" w:id="55"/>
    <w:p>
      <w:pPr>
        <w:spacing w:after="0"/>
        <w:ind w:left="0"/>
        <w:jc w:val="left"/>
      </w:pPr>
      <w:r>
        <w:rPr>
          <w:rFonts w:ascii="Times New Roman"/>
          <w:b/>
          <w:i w:val="false"/>
          <w:color w:val="000000"/>
        </w:rPr>
        <w:t xml:space="preserve"> 4-кіші бөлім. Жергілікті атқарушы органдардың мемлекеттік бағалы қағаздарды (облигацияларды) шығаруы есебінен табиғи монополия субъектілерін қаржыландыру мынадай негізгі шарттарда жүзеге асырылады:</w:t>
      </w:r>
    </w:p>
    <w:bookmarkEnd w:id="55"/>
    <w:p>
      <w:pPr>
        <w:spacing w:after="0"/>
        <w:ind w:left="0"/>
        <w:jc w:val="both"/>
      </w:pPr>
      <w:r>
        <w:rPr>
          <w:rFonts w:ascii="Times New Roman"/>
          <w:b w:val="false"/>
          <w:i w:val="false"/>
          <w:color w:val="ff0000"/>
          <w:sz w:val="28"/>
        </w:rPr>
        <w:t xml:space="preserve">
      Ескерту. Бағдарлама 4-кіші бөліммен толықтырылды - ҚР Үкіметінің 24.10.2024 </w:t>
      </w:r>
      <w:r>
        <w:rPr>
          <w:rFonts w:ascii="Times New Roman"/>
          <w:b w:val="false"/>
          <w:i w:val="false"/>
          <w:color w:val="ff0000"/>
          <w:sz w:val="28"/>
        </w:rPr>
        <w:t>№ 882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оның ішінде холдинг тобына кіретін компаниялар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бағдарламаның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айналыс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(2029 жыл да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бойынша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9,19 (тоғыз бүтін, он тоғыз) %-дан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облигациялар шеңберінде негізгі борышты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айналысы басталған күннен үшінші жылдан бастап жартыжылдық төлемдермен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 бойынша сыйақы төлеу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жылумен жабдықтау жөніндегі инженерлік желілердің және жылу энергиясын өндіру кезінде қолданылған активтердің тозу көрсеткіші 55 %-дан асатын  заңды тұлғалар:</w:t>
            </w:r>
          </w:p>
          <w:p>
            <w:pPr>
              <w:spacing w:after="20"/>
              <w:ind w:left="20"/>
              <w:jc w:val="both"/>
            </w:pPr>
            <w:r>
              <w:rPr>
                <w:rFonts w:ascii="Times New Roman"/>
                <w:b w:val="false"/>
                <w:i w:val="false"/>
                <w:color w:val="000000"/>
                <w:sz w:val="20"/>
              </w:rPr>
              <w:t>
мемлекеттік қарыз алушылар;</w:t>
            </w:r>
          </w:p>
          <w:p>
            <w:pPr>
              <w:spacing w:after="20"/>
              <w:ind w:left="20"/>
              <w:jc w:val="both"/>
            </w:pPr>
            <w:r>
              <w:rPr>
                <w:rFonts w:ascii="Times New Roman"/>
                <w:b w:val="false"/>
                <w:i w:val="false"/>
                <w:color w:val="000000"/>
                <w:sz w:val="20"/>
              </w:rPr>
              <w:t>
мемлекеттік емес қарыз алушылар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қарыз алушылардың инвестициялық жобасын іске асыру мақсатында эмитент және (немесе) бюджет заңнамасына сәйкес айқындалған өзге де тұлғалар мен қарыз алушылар арасында жасалатын шарттар.</w:t>
            </w:r>
          </w:p>
          <w:p>
            <w:pPr>
              <w:spacing w:after="20"/>
              <w:ind w:left="20"/>
              <w:jc w:val="both"/>
            </w:pPr>
            <w:r>
              <w:rPr>
                <w:rFonts w:ascii="Times New Roman"/>
                <w:b w:val="false"/>
                <w:i w:val="false"/>
                <w:color w:val="000000"/>
                <w:sz w:val="20"/>
              </w:rPr>
              <w:t>
Қарыз алушыларға кредит берудің негізгі және өзге де шарттары кредит шарттарында айқындалатын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bl>
    <w:bookmarkStart w:name="z87" w:id="56"/>
    <w:p>
      <w:pPr>
        <w:spacing w:after="0"/>
        <w:ind w:left="0"/>
        <w:jc w:val="left"/>
      </w:pPr>
      <w:r>
        <w:rPr>
          <w:rFonts w:ascii="Times New Roman"/>
          <w:b/>
          <w:i w:val="false"/>
          <w:color w:val="000000"/>
        </w:rPr>
        <w:t xml:space="preserve"> 6-бөлім. Қажетті ресурстар</w:t>
      </w:r>
    </w:p>
    <w:bookmarkEnd w:id="56"/>
    <w:bookmarkStart w:name="z82" w:id="57"/>
    <w:p>
      <w:pPr>
        <w:spacing w:after="0"/>
        <w:ind w:left="0"/>
        <w:jc w:val="both"/>
      </w:pPr>
      <w:r>
        <w:rPr>
          <w:rFonts w:ascii="Times New Roman"/>
          <w:b w:val="false"/>
          <w:i w:val="false"/>
          <w:color w:val="000000"/>
          <w:sz w:val="28"/>
        </w:rPr>
        <w:t>
      Бағдарламаны қаржыландыру РБ қаражаты және қаржыландырушы ұйымдардың қаражаты есебінен жүзеге асырылатын болады.</w:t>
      </w:r>
    </w:p>
    <w:bookmarkEnd w:id="57"/>
    <w:bookmarkStart w:name="z83" w:id="58"/>
    <w:p>
      <w:pPr>
        <w:spacing w:after="0"/>
        <w:ind w:left="0"/>
        <w:jc w:val="both"/>
      </w:pPr>
      <w:r>
        <w:rPr>
          <w:rFonts w:ascii="Times New Roman"/>
          <w:b w:val="false"/>
          <w:i w:val="false"/>
          <w:color w:val="000000"/>
          <w:sz w:val="28"/>
        </w:rPr>
        <w:t>
      Бағдарламаны қаржыландыру көлемі мынаны құрайды:</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2027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Қаржыландырушы ұйымдардың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85" w:id="59"/>
    <w:p>
      <w:pPr>
        <w:spacing w:after="0"/>
        <w:ind w:left="0"/>
        <w:jc w:val="both"/>
      </w:pPr>
      <w:r>
        <w:rPr>
          <w:rFonts w:ascii="Times New Roman"/>
          <w:b w:val="false"/>
          <w:i w:val="false"/>
          <w:color w:val="000000"/>
          <w:sz w:val="28"/>
        </w:rPr>
        <w:t xml:space="preserve">
      Ескертпе: </w:t>
      </w:r>
    </w:p>
    <w:bookmarkEnd w:id="59"/>
    <w:bookmarkStart w:name="z86" w:id="60"/>
    <w:p>
      <w:pPr>
        <w:spacing w:after="0"/>
        <w:ind w:left="0"/>
        <w:jc w:val="both"/>
      </w:pPr>
      <w:r>
        <w:rPr>
          <w:rFonts w:ascii="Times New Roman"/>
          <w:b w:val="false"/>
          <w:i w:val="false"/>
          <w:color w:val="000000"/>
          <w:sz w:val="28"/>
        </w:rPr>
        <w:t>
      Қаражат көлемі тиісті қаржы жылына арналған РБ-ға сәйкес нақтыланатын болады.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