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bb0c" w14:textId="966b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"Биржада бағалы қағаздардың сауда-саттығын жүзеге асыру өлшемшарттарын айқындау туралы" Қазақстан Республикасы Үкіметінің 2022 жылғы 17 қарашадағы № 911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2024 жылғы 21 желтоқсандағы № 1096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"Биржада бағалы қағаздардың сауда-саттығын жүзеге асыру өлшемшарттарын айқындау туралы" Қазақстан Республикасы Үкіметінің 2022 жылғы 17 қарашадағы № 911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қор биржасы" (келісу бойынша) және "Астана" халықаралық қаржы орталығының биржасы" (келісу бойынша) акционерлік қоғамдары ай сайын, есепті айдан кейінгі айдың 15-і күнінен кешіктірмей, өздерінің интернет-ресурстарында осы қаулының 1-тармағында белгіленген өлшемшарттарға сәйкес келетін бағалы қағаздар туралы ақпаратты орналастырып тұрсын. Осы қаулыға қосымшаның 1-тармағының 3) тармақшасында айқындалған өлшемшарт бойынша ақпарат бағалы қағаздар эмитентінен алынған деректер негізінде жарияланады.";</w:t>
      </w:r>
    </w:p>
    <w:bookmarkEnd w:id="2"/>
    <w:bookmarkStart w:name="z5" w:id="3"/>
    <w:p>
      <w:pPr>
        <w:spacing w:after="0"/>
        <w:ind w:left="0"/>
        <w:jc w:val="both"/>
      </w:pPr>
      <w:r>
        <w:rPr>
          <w:rFonts w:ascii="Times New Roman"/>
          <w:b w:val="false"/>
          <w:i w:val="false"/>
          <w:color w:val="000000"/>
          <w:sz w:val="28"/>
        </w:rPr>
        <w:t xml:space="preserve">
      көрсетілген қаулымен айқындалған биржада бағалы қағаздардың сауда-саттығын жүзеге асыру </w:t>
      </w:r>
      <w:r>
        <w:rPr>
          <w:rFonts w:ascii="Times New Roman"/>
          <w:b w:val="false"/>
          <w:i w:val="false"/>
          <w:color w:val="000000"/>
          <w:sz w:val="28"/>
        </w:rPr>
        <w:t>өлшемшарттарында: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Бағалы қағаздардың (инвестициялық пай қорларының пайларын және борыштық бағалы қағаздарды қоспағанда) сауда-саттығын жүзеге асырған кезде мынадай өлшемшарттар қатар сақталады:</w:t>
      </w:r>
    </w:p>
    <w:bookmarkEnd w:id="4"/>
    <w:bookmarkStart w:name="z8" w:id="5"/>
    <w:p>
      <w:pPr>
        <w:spacing w:after="0"/>
        <w:ind w:left="0"/>
        <w:jc w:val="both"/>
      </w:pPr>
      <w:r>
        <w:rPr>
          <w:rFonts w:ascii="Times New Roman"/>
          <w:b w:val="false"/>
          <w:i w:val="false"/>
          <w:color w:val="000000"/>
          <w:sz w:val="28"/>
        </w:rPr>
        <w:t>
      1) Қазақстан Республикасының аумағында жұмыс істейтін биржаларда бағалы қағаздармен орындалған мәміле көлемі күнтізбелік айда кемінде 25 (жиырма бес) миллион теңгені құрайды;</w:t>
      </w:r>
    </w:p>
    <w:bookmarkEnd w:id="5"/>
    <w:bookmarkStart w:name="z9" w:id="6"/>
    <w:p>
      <w:pPr>
        <w:spacing w:after="0"/>
        <w:ind w:left="0"/>
        <w:jc w:val="both"/>
      </w:pPr>
      <w:r>
        <w:rPr>
          <w:rFonts w:ascii="Times New Roman"/>
          <w:b w:val="false"/>
          <w:i w:val="false"/>
          <w:color w:val="000000"/>
          <w:sz w:val="28"/>
        </w:rPr>
        <w:t>
      2) Қазақстан Республикасының аумағында жұмыс істейтін биржаларда бағалы қағаздармен орындалған мәміле саны күнтізбелік айда кемінде 50 (елу) мәмілені құрайды;</w:t>
      </w:r>
    </w:p>
    <w:bookmarkEnd w:id="6"/>
    <w:bookmarkStart w:name="z10" w:id="7"/>
    <w:p>
      <w:pPr>
        <w:spacing w:after="0"/>
        <w:ind w:left="0"/>
        <w:jc w:val="both"/>
      </w:pPr>
      <w:r>
        <w:rPr>
          <w:rFonts w:ascii="Times New Roman"/>
          <w:b w:val="false"/>
          <w:i w:val="false"/>
          <w:color w:val="000000"/>
          <w:sz w:val="28"/>
        </w:rPr>
        <w:t>
      3) бағалы қағаздарды IPO (Initial Public Offering) не SPO (Secondary Public Offering) өткізу жолымен орналастыру немесе еркін айналыстағы бағалы қағаз саны эмитент сатып алғанын шегергенде орналастырылған бағалы қағаздардың жалпы санының кемінде 10 (он) пайызын құрайды;</w:t>
      </w:r>
    </w:p>
    <w:bookmarkEnd w:id="7"/>
    <w:bookmarkStart w:name="z11" w:id="8"/>
    <w:p>
      <w:pPr>
        <w:spacing w:after="0"/>
        <w:ind w:left="0"/>
        <w:jc w:val="both"/>
      </w:pPr>
      <w:r>
        <w:rPr>
          <w:rFonts w:ascii="Times New Roman"/>
          <w:b w:val="false"/>
          <w:i w:val="false"/>
          <w:color w:val="000000"/>
          <w:sz w:val="28"/>
        </w:rPr>
        <w:t>
      мынадай мазмұндағы ескертпемен толықтырылсын:</w:t>
      </w:r>
    </w:p>
    <w:bookmarkEnd w:id="8"/>
    <w:bookmarkStart w:name="z12" w:id="9"/>
    <w:p>
      <w:pPr>
        <w:spacing w:after="0"/>
        <w:ind w:left="0"/>
        <w:jc w:val="both"/>
      </w:pPr>
      <w:r>
        <w:rPr>
          <w:rFonts w:ascii="Times New Roman"/>
          <w:b w:val="false"/>
          <w:i w:val="false"/>
          <w:color w:val="000000"/>
          <w:sz w:val="28"/>
        </w:rPr>
        <w:t>
      "Ескертпе: осы өлшемшарттардың 1-тармағының 3) тармақшасында көрсетілген еркін айналыстағы бағалы қағаз санын есептеу кезінде эмитент сатып алғанын шегергенде орналастырылған бағалы қағаздардың жалпы санынан:</w:t>
      </w:r>
    </w:p>
    <w:bookmarkEnd w:id="9"/>
    <w:p>
      <w:pPr>
        <w:spacing w:after="0"/>
        <w:ind w:left="0"/>
        <w:jc w:val="both"/>
      </w:pPr>
      <w:r>
        <w:rPr>
          <w:rFonts w:ascii="Times New Roman"/>
          <w:b w:val="false"/>
          <w:i w:val="false"/>
          <w:color w:val="000000"/>
          <w:sz w:val="28"/>
        </w:rPr>
        <w:t>
      мемлекеттің;</w:t>
      </w:r>
    </w:p>
    <w:bookmarkStart w:name="z13" w:id="10"/>
    <w:p>
      <w:pPr>
        <w:spacing w:after="0"/>
        <w:ind w:left="0"/>
        <w:jc w:val="both"/>
      </w:pPr>
      <w:r>
        <w:rPr>
          <w:rFonts w:ascii="Times New Roman"/>
          <w:b w:val="false"/>
          <w:i w:val="false"/>
          <w:color w:val="000000"/>
          <w:sz w:val="28"/>
        </w:rPr>
        <w:t>
      эмитенттің лауазымды адамдары мен олардың жақын туыстарының;</w:t>
      </w:r>
    </w:p>
    <w:bookmarkEnd w:id="10"/>
    <w:p>
      <w:pPr>
        <w:spacing w:after="0"/>
        <w:ind w:left="0"/>
        <w:jc w:val="both"/>
      </w:pPr>
      <w:r>
        <w:rPr>
          <w:rFonts w:ascii="Times New Roman"/>
          <w:b w:val="false"/>
          <w:i w:val="false"/>
          <w:color w:val="000000"/>
          <w:sz w:val="28"/>
        </w:rPr>
        <w:t>
      эмитенттің лауазымды адамдары мен олардың жақын туыстары ірі акционерлер болып табылатын немесе мүлікте тиісті үлесі бар және (немесе) лауазымды адамдар болып табылатын заңды тұлғалардың;</w:t>
      </w:r>
    </w:p>
    <w:bookmarkStart w:name="z14" w:id="11"/>
    <w:p>
      <w:pPr>
        <w:spacing w:after="0"/>
        <w:ind w:left="0"/>
        <w:jc w:val="both"/>
      </w:pPr>
      <w:r>
        <w:rPr>
          <w:rFonts w:ascii="Times New Roman"/>
          <w:b w:val="false"/>
          <w:i w:val="false"/>
          <w:color w:val="000000"/>
          <w:sz w:val="28"/>
        </w:rPr>
        <w:t>
      эмитенттің ірі акционерлері мен олардың жақын туыстары ірі акционерлер болып табылатын немесе мүлікте тиісті үлесі бар және (немесе) лауазымды адамдар болып табылатын заңды тұлғалардың;</w:t>
      </w:r>
    </w:p>
    <w:bookmarkEnd w:id="11"/>
    <w:p>
      <w:pPr>
        <w:spacing w:after="0"/>
        <w:ind w:left="0"/>
        <w:jc w:val="both"/>
      </w:pPr>
      <w:r>
        <w:rPr>
          <w:rFonts w:ascii="Times New Roman"/>
          <w:b w:val="false"/>
          <w:i w:val="false"/>
          <w:color w:val="000000"/>
          <w:sz w:val="28"/>
        </w:rPr>
        <w:t>
      эмитенттің еншілес ұйымдарының және эмитенттің ірі акционерінің еншілес ұйымдарының;</w:t>
      </w:r>
    </w:p>
    <w:bookmarkStart w:name="z15" w:id="12"/>
    <w:p>
      <w:pPr>
        <w:spacing w:after="0"/>
        <w:ind w:left="0"/>
        <w:jc w:val="both"/>
      </w:pPr>
      <w:r>
        <w:rPr>
          <w:rFonts w:ascii="Times New Roman"/>
          <w:b w:val="false"/>
          <w:i w:val="false"/>
          <w:color w:val="000000"/>
          <w:sz w:val="28"/>
        </w:rPr>
        <w:t>
      әрқайсысына осы бағалы қағаздар эмитент сатып алғанын шегергенде осы эмитенттің орналастырылған бағалы қағаздарының жалпы санының 10 (он) және одан көп пайызын құрайтын көлемде тиесілі тұлғалардың меншігіндегі бағалы қағаздар алып тасталады.".</w:t>
      </w:r>
    </w:p>
    <w:bookmarkEnd w:id="12"/>
    <w:bookmarkStart w:name="z16" w:id="1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