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d6c7" w14:textId="045d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мемлекеттердiң инспекциялық және арнаулы ұшақтарының Қазақстан Республикасының аумағына ұшып келуiне берiлетiн дипломатиялық рұқсаттарды ресiмдеу процедурасы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қазан 1993 ж. N 1019</w:t>
      </w:r>
    </w:p>
    <w:p>
      <w:pPr>
        <w:spacing w:after="0"/>
        <w:ind w:left="0"/>
        <w:jc w:val="both"/>
      </w:pPr>
      <w:bookmarkStart w:name="z0" w:id="0"/>
      <w:r>
        <w:rPr>
          <w:rFonts w:ascii="Times New Roman"/>
          <w:b w:val="false"/>
          <w:i w:val="false"/>
          <w:color w:val="000000"/>
          <w:sz w:val="28"/>
        </w:rPr>
        <w:t xml:space="preserve">
      Қару-жараққа және қарусыздануға бақылау жасау проблемалары жөнiндегi шарттар мен келiсiмдерге қатысушы мемлекеттiң мiндеттерiн Қазақстан Республикасының дәлме-дәл орындауының қажеттiгiне байланысты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Сыртқы iстер министрлiгi Қазақстан Республикасы Қорғаныс министрлiгiнiң, "Қазақстан әуе жолы" ұлттық акционерлiк компаниясының және Ұлттық қауiпсiздiк комитетiнiң жәрдемiмен жыл сайын шетелдiк әуе кемелерiнiң ұшып келуiне дипломатиялық рұқсат берiп, бұл жөнiнде шарттарға немесе келiсiмдерге қатысушы елдерге хабарлап отыратын болсын. </w:t>
      </w:r>
      <w:r>
        <w:br/>
      </w:r>
      <w:r>
        <w:rPr>
          <w:rFonts w:ascii="Times New Roman"/>
          <w:b w:val="false"/>
          <w:i w:val="false"/>
          <w:color w:val="000000"/>
          <w:sz w:val="28"/>
        </w:rPr>
        <w:t xml:space="preserve">
      2. Шетел ұшағы коммерциялық рейстер кестесiнен тыс жекелеген арнаулы рейспен ұшып келетiн жағдайда дипломатиялық рұқсат берудiң мынадай тәртiбi белгiленсiн: </w:t>
      </w:r>
      <w:r>
        <w:br/>
      </w:r>
      <w:r>
        <w:rPr>
          <w:rFonts w:ascii="Times New Roman"/>
          <w:b w:val="false"/>
          <w:i w:val="false"/>
          <w:color w:val="000000"/>
          <w:sz w:val="28"/>
        </w:rPr>
        <w:t xml:space="preserve">
      шетел мемлекетiнiң Қазақстанда болу ниетi туралы нотасы немесе (және) мәлiмдеуi негiзiнде Қазақстан Республикасының Сыртқы iстер министрлiгi Қазақстан Республикасының Қорғаныс министрлiгiне, "Қазақстан әуе жолы" ұлттық акционерлiк компаниясына және Ұлттық қауiпсiздiк комитетiне хабар жiбередi; </w:t>
      </w:r>
      <w:r>
        <w:br/>
      </w:r>
      <w:r>
        <w:rPr>
          <w:rFonts w:ascii="Times New Roman"/>
          <w:b w:val="false"/>
          <w:i w:val="false"/>
          <w:color w:val="000000"/>
          <w:sz w:val="28"/>
        </w:rPr>
        <w:t xml:space="preserve">
      аталған ведомстволар екi күндiк мерзiмде қорытынды шығарады және Қазақстан Республикасының Сыртқы iстер министрлiгiне хабарлайды; </w:t>
      </w:r>
      <w:r>
        <w:br/>
      </w:r>
      <w:r>
        <w:rPr>
          <w:rFonts w:ascii="Times New Roman"/>
          <w:b w:val="false"/>
          <w:i w:val="false"/>
          <w:color w:val="000000"/>
          <w:sz w:val="28"/>
        </w:rPr>
        <w:t xml:space="preserve">
      "Қазақстан әуе жолы" ұлттық акционерлiк компаниясы Ресей Федерациясының әуе қозғалысын бiрыңғай басқару жүйесiнiң бас орталығын және Қазақстан Республикасы Қарулы Күштерiнiң әуе қозғалысын басқару бас орталығын хабардар етедi, олар өтiнiмдер бойынша шет ел мемлекеттерiнiң ұшақтарын шетелдiк әуе кемелерiнiң ұшуы үшiн белгiленген коридорлар арқылы өткiзудi қамтамасыз етедi; </w:t>
      </w:r>
      <w:r>
        <w:br/>
      </w:r>
      <w:r>
        <w:rPr>
          <w:rFonts w:ascii="Times New Roman"/>
          <w:b w:val="false"/>
          <w:i w:val="false"/>
          <w:color w:val="000000"/>
          <w:sz w:val="28"/>
        </w:rPr>
        <w:t xml:space="preserve">
      көрсетiлген ведомстволардың қорытындылары негiзiнде Қазақстан Республикасының Сыртқы iстер министрлiгi дипломатиялық рұқсат жазып бередi, оның нөмiрi мен нотасы сұрау салушыға және барлық мүдделi ведомстволарға хабарланады.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