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58fa" w14:textId="7bb5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желтоқсандағы N 1831</w:t>
      </w:r>
    </w:p>
    <w:p>
      <w:pPr>
        <w:spacing w:after="0"/>
        <w:ind w:left="0"/>
        <w:jc w:val="left"/>
      </w:pPr>
      <w:r>
        <w:rPr>
          <w:rFonts w:ascii="Times New Roman"/>
          <w:b w:val="false"/>
          <w:i w:val="false"/>
          <w:color w:val="000000"/>
          <w:sz w:val="28"/>
        </w:rPr>
        <w:t>
</w:t>
      </w:r>
      <w:r>
        <w:rPr>
          <w:rFonts w:ascii="Times New Roman"/>
          <w:b w:val="false"/>
          <w:i w:val="false"/>
          <w:color w:val="000000"/>
          <w:sz w:val="28"/>
        </w:rPr>
        <w:t>
          Ұлттық қауiпсiздiк комитетiнiң "Кварц" акционерлiк қоғамына
жүргiзген монтаждау-реттеу жұмыстары үшiн пайда болған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республикалық бюджетке салық төлемдерi бойынша 2536 мың
(екi миллион бес жүз отыз алты мың) теңге, оның iшiнде қосымша құнға
салынатын салық бойынша 303 (үш жүз үш) мың теңге, заңды тұлғалардан
алынатын табыс салығы бойынша 855 (сегiз жүз елу бес) мың теңге,
Экономиканы жаңғырту қорына 1378 мың (бiр миллион үш жүз жетпiс
сегiз) мың теңге сомасындағы берешегi бар "Кварц" акционерлiк қоғамы
арасында бiр жолғы есептеу жүргiзсiн.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сома жүргiзiлген монтаждау-реттеу жұмыстары үшiн
берешегiн өтеуге Ұлттық қауiпсiздiк комитетiн қаржыландыру есебiне
есептелсiн.
     2. Берешектi есептеу 1995 жылғы 1 қазандағы жағдай бойынша,
аталған соманы бюджеттiң кiрiс және шығыс бөлiмдерiнде көрсете
отырып жүргiзiлсiн.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