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54a9" w14:textId="adf5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1835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Iс Басқармасының
"Қазақстан әуе жолы" ұлттық акционерлiк авиакомпаниясы орындаған аса
маңызды ұшуларға ақы төлеу бойынша берешектi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"Қазақстан әуе жол" ұлттық акционерлiк авиакомпаниясы
арасындағы республикалық бюджет алдындағы заңды тұлғалардан алынатын
табыс салығы жөнiндегi жалпы сомасы 60 (алпыс) млн. теңге берешекке
бiр жолғы есептеу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 "Қазақстан әуе жолы" ұлттық акционерлiк
авиакомпаниясының аса маңызды ұшуларда көрсеткен қызметi үшiн
берешектерiн қайтаруға Қазақстан Республикасы Президентiнiң Iс
Басқармасының қаржыландыру шотына есептелсiн.
     2. Берешектердi есептеу 1995 жылғы 1 қазандағы жағдай бойынша
аталған сома бюджеттiң кiрiс және шығыс бөлiктерiнде көрсетiле
отырып жүргiзiледi.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