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4de5" w14:textId="d874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Өнеркәсiптiк мал шаруашылығы мен құс шаруашылығы тұрақтандыру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5 желтоқсан N 1488</w:t>
      </w:r>
    </w:p>
    <w:p>
      <w:pPr>
        <w:spacing w:after="0"/>
        <w:ind w:left="0"/>
        <w:jc w:val="left"/>
      </w:pPr>
      <w:r>
        <w:rPr>
          <w:rFonts w:ascii="Times New Roman"/>
          <w:b w:val="false"/>
          <w:i w:val="false"/>
          <w:color w:val="000000"/>
          <w:sz w:val="28"/>
        </w:rPr>
        <w:t>
</w:t>
      </w:r>
      <w:r>
        <w:rPr>
          <w:rFonts w:ascii="Times New Roman"/>
          <w:b w:val="false"/>
          <w:i w:val="false"/>
          <w:color w:val="000000"/>
          <w:sz w:val="28"/>
        </w:rPr>
        <w:t>
          Мал шаруашылығы кешендерi мен құс фабрикаларының жұмысын
тұрақтандыру, инвестицияларды тарту жолымен оларды экономикалық
сауықтыру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Ауыл шаруашылығы министрлiгi бiр ай
мерзiмде мүлкiнiң тозу дәрежесi 50 проценттен асатын өнеркәсiптiк мал
шаруашылығы мен құс шаруашылығы объектiлерiнiң тiзбесiн айқындасын
және оны Қазақстан Республикасының Мемлекеттiк мүлiктi басқару
жөнiндегi мемлекеттiк комитетiне тапсырсын.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жоғарыда аталған объектiлердi
(мемлекеттiк мүлiк немесе мемлекеттiк акциялар пакетi) заңды және
жеке тұлғаларға өндiрiстi инвестициялау, кредиторлық берешектi өтеу
және өндiрiлетiн өнiм көлемiн қалпына келтiру мен жобалық қуатқа
дейiн тұрақтандыруға қол жеткiзу шартымен қайтарымсыз беруге
белгiленген тәртiппен шарт жасассын.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мен Қазақстан Республикасының Ауыл
шаруашылығы министрлiгi осы қаулының орындалуы туралы Қазақстан
Республикасының Үкiметiне 1-қаңтарға дейiн хабарласын.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