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25e7" w14:textId="ee825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Астананы көшiрудiң бiрiншi кезеңiнде Ақмола қаласына көшiрiлуге жататын мемлекеттiк органдар мен ұйымдардың қызметкерлерiне тұрғын үй беру туралы уақытша ереженi бекiту туралы</w:t>
      </w:r>
    </w:p>
    <w:p>
      <w:pPr>
        <w:spacing w:after="0"/>
        <w:ind w:left="0"/>
        <w:jc w:val="both"/>
      </w:pPr>
      <w:r>
        <w:rPr>
          <w:rFonts w:ascii="Times New Roman"/>
          <w:b w:val="false"/>
          <w:i w:val="false"/>
          <w:color w:val="000000"/>
          <w:sz w:val="28"/>
        </w:rPr>
        <w:t>Қазақстан Республикасы Үкiметiнiң қаулысы 1997 жылғы 26 наурыздағы N 418</w:t>
      </w:r>
    </w:p>
    <w:p>
      <w:pPr>
        <w:spacing w:after="0"/>
        <w:ind w:left="0"/>
        <w:jc w:val="both"/>
      </w:pPr>
      <w:bookmarkStart w:name="z0" w:id="0"/>
      <w:r>
        <w:rPr>
          <w:rFonts w:ascii="Times New Roman"/>
          <w:b w:val="false"/>
          <w:i w:val="false"/>
          <w:color w:val="000000"/>
          <w:sz w:val="28"/>
        </w:rPr>
        <w:t xml:space="preserve">
      Астананы көшiрудiң бiрiншi кезеңiнде Ақмола қаласына көшiрiлуге жататын мемлекеттiк органдар мен ұйымдардың қызметкерлерiне тұрғын үй беру мәселелерiн тәртiпке келтiру үшiн Қазақстан Республикасының Үкiметi қаулы етедi: </w:t>
      </w:r>
      <w:r>
        <w:br/>
      </w:r>
      <w:r>
        <w:rPr>
          <w:rFonts w:ascii="Times New Roman"/>
          <w:b w:val="false"/>
          <w:i w:val="false"/>
          <w:color w:val="000000"/>
          <w:sz w:val="28"/>
        </w:rPr>
        <w:t xml:space="preserve">
      1. Қоса берiлiп отырған астананы көшiрудiң бiрiншi кезеңiнде Ақмола қаласына көшiрiлуге жататын мемлекеттiк органдар мен ұйымдардың қызметкерлерiне тұрғын үй беру туралы уақытша ереже бекiтiлсiн. </w:t>
      </w:r>
      <w:r>
        <w:br/>
      </w:r>
      <w:r>
        <w:rPr>
          <w:rFonts w:ascii="Times New Roman"/>
          <w:b w:val="false"/>
          <w:i w:val="false"/>
          <w:color w:val="000000"/>
          <w:sz w:val="28"/>
        </w:rPr>
        <w:t xml:space="preserve">
      2. Премьер-Министрдiң Кеңсесi Қазақстан Республикасы Президентiнiң Әкiмшiлiгiмен келiсiм бойынша бiр ай мерзiм iшiнде бұл органдар мен ұйымдардың көшiрiлетiн қызметкерлерi санының лимитiн көрсете отырып, астананы Ақмола қаласына көшiрудiң бiрiншi кезеңiнде көшiрiлуге жататын мемлекеттiк органдар мен ұйымдардың тiзбесiн әзiрлесiн және Қазақстан Республикасының Үкiметiне бекiтуге енгiзсiн. </w:t>
      </w:r>
      <w:r>
        <w:br/>
      </w:r>
      <w:r>
        <w:rPr>
          <w:rFonts w:ascii="Times New Roman"/>
          <w:b w:val="false"/>
          <w:i w:val="false"/>
          <w:color w:val="000000"/>
          <w:sz w:val="28"/>
        </w:rPr>
        <w:t xml:space="preserve">
      3. Әдiлет министрлiгi Қазақстан Республикасы Президентiнің Iс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Басқармасымен бiрлесiп (келiсiм бойынша), мүдделi мемлекеттiк</w:t>
      </w:r>
    </w:p>
    <w:p>
      <w:pPr>
        <w:spacing w:after="0"/>
        <w:ind w:left="0"/>
        <w:jc w:val="both"/>
      </w:pPr>
      <w:r>
        <w:rPr>
          <w:rFonts w:ascii="Times New Roman"/>
          <w:b w:val="false"/>
          <w:i w:val="false"/>
          <w:color w:val="000000"/>
          <w:sz w:val="28"/>
        </w:rPr>
        <w:t>органдарды тарта отырып, бiр ай мерзiм iшiнде бiрiншi кезеңде Ақмола</w:t>
      </w:r>
    </w:p>
    <w:p>
      <w:pPr>
        <w:spacing w:after="0"/>
        <w:ind w:left="0"/>
        <w:jc w:val="both"/>
      </w:pPr>
      <w:r>
        <w:rPr>
          <w:rFonts w:ascii="Times New Roman"/>
          <w:b w:val="false"/>
          <w:i w:val="false"/>
          <w:color w:val="000000"/>
          <w:sz w:val="28"/>
        </w:rPr>
        <w:t>қаласына көшiрiлуге жататын мемлекеттiк органдар мен ұйымдардың</w:t>
      </w:r>
    </w:p>
    <w:p>
      <w:pPr>
        <w:spacing w:after="0"/>
        <w:ind w:left="0"/>
        <w:jc w:val="both"/>
      </w:pPr>
      <w:r>
        <w:rPr>
          <w:rFonts w:ascii="Times New Roman"/>
          <w:b w:val="false"/>
          <w:i w:val="false"/>
          <w:color w:val="000000"/>
          <w:sz w:val="28"/>
        </w:rPr>
        <w:t>қызметкерлерiне тұрғын үй беру туралы Үлгi шарттың нысанын әзiрлесiн</w:t>
      </w:r>
    </w:p>
    <w:p>
      <w:pPr>
        <w:spacing w:after="0"/>
        <w:ind w:left="0"/>
        <w:jc w:val="both"/>
      </w:pPr>
      <w:r>
        <w:rPr>
          <w:rFonts w:ascii="Times New Roman"/>
          <w:b w:val="false"/>
          <w:i w:val="false"/>
          <w:color w:val="000000"/>
          <w:sz w:val="28"/>
        </w:rPr>
        <w:t>және оны Қазақстан Республикасының Үкiметiне бекiтуге ұсынсын.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26 наурыздағы</w:t>
      </w:r>
    </w:p>
    <w:p>
      <w:pPr>
        <w:spacing w:after="0"/>
        <w:ind w:left="0"/>
        <w:jc w:val="both"/>
      </w:pPr>
      <w:r>
        <w:rPr>
          <w:rFonts w:ascii="Times New Roman"/>
          <w:b w:val="false"/>
          <w:i w:val="false"/>
          <w:color w:val="000000"/>
          <w:sz w:val="28"/>
        </w:rPr>
        <w:t>                                          N 418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Астананы көшiрудiң бiрiншi кезеңiнде Ақмола қаласына</w:t>
      </w:r>
    </w:p>
    <w:p>
      <w:pPr>
        <w:spacing w:after="0"/>
        <w:ind w:left="0"/>
        <w:jc w:val="both"/>
      </w:pPr>
      <w:r>
        <w:rPr>
          <w:rFonts w:ascii="Times New Roman"/>
          <w:b w:val="false"/>
          <w:i w:val="false"/>
          <w:color w:val="000000"/>
          <w:sz w:val="28"/>
        </w:rPr>
        <w:t>       көшiрiлуге жататын мемлекеттiк органдар мен ұйымдардың</w:t>
      </w:r>
    </w:p>
    <w:p>
      <w:pPr>
        <w:spacing w:after="0"/>
        <w:ind w:left="0"/>
        <w:jc w:val="both"/>
      </w:pPr>
      <w:r>
        <w:rPr>
          <w:rFonts w:ascii="Times New Roman"/>
          <w:b w:val="false"/>
          <w:i w:val="false"/>
          <w:color w:val="000000"/>
          <w:sz w:val="28"/>
        </w:rPr>
        <w:t>                қызметкерлерiне тұрғын үй беру туралы</w:t>
      </w:r>
    </w:p>
    <w:p>
      <w:pPr>
        <w:spacing w:after="0"/>
        <w:ind w:left="0"/>
        <w:jc w:val="both"/>
      </w:pPr>
      <w:r>
        <w:rPr>
          <w:rFonts w:ascii="Times New Roman"/>
          <w:b w:val="false"/>
          <w:i w:val="false"/>
          <w:color w:val="000000"/>
          <w:sz w:val="28"/>
        </w:rPr>
        <w:t>                          УАҚЫТША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Тұрғын үй берудiң принциптi қадамдары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Уақытша ереже Ақмола қаласына көшiрiлуге жататын мемлекеттiк органдар мен ұйымдардың қызметкерлерiне тұрғын үй беру мәселелерiн реттейдi. </w:t>
      </w:r>
      <w:r>
        <w:br/>
      </w:r>
      <w:r>
        <w:rPr>
          <w:rFonts w:ascii="Times New Roman"/>
          <w:b w:val="false"/>
          <w:i w:val="false"/>
          <w:color w:val="000000"/>
          <w:sz w:val="28"/>
        </w:rPr>
        <w:t xml:space="preserve">
      Ақмола қаласына көшiрiлуге жататын мемлекеттiк органдар мен ұйымдардың тiзбесiн, сондай-ақ осы органдар мен ұйымдардың Ақмола қаласына ауыстырылатын қызметкерлерi санының лимитiн Қазақстан Республикасының Үкiметi белгiлейдi. </w:t>
      </w:r>
      <w:r>
        <w:br/>
      </w:r>
      <w:r>
        <w:rPr>
          <w:rFonts w:ascii="Times New Roman"/>
          <w:b w:val="false"/>
          <w:i w:val="false"/>
          <w:color w:val="000000"/>
          <w:sz w:val="28"/>
        </w:rPr>
        <w:t xml:space="preserve">
      Мемлекеттiк органдар мен ұйымдардың нақты қызметкерлерiн жеке iрiктеудi олардың санының белгiленген лимитiнiң шегiнде осы органдар мен ұйымдардың бiрiншi басшылары жүргiзедi. </w:t>
      </w:r>
      <w:r>
        <w:br/>
      </w:r>
      <w:r>
        <w:rPr>
          <w:rFonts w:ascii="Times New Roman"/>
          <w:b w:val="false"/>
          <w:i w:val="false"/>
          <w:color w:val="000000"/>
          <w:sz w:val="28"/>
        </w:rPr>
        <w:t xml:space="preserve">
      2. Жоғары және орталық мемлекеттiк органдарды көшiрудiң бiрiншi кезеңiнде мемлекеттiк органдар мен ұйымдардың қызметкерлерiне берiлетiн тұрғын үй екi санатқа бөлiнедi: </w:t>
      </w:r>
      <w:r>
        <w:br/>
      </w:r>
      <w:r>
        <w:rPr>
          <w:rFonts w:ascii="Times New Roman"/>
          <w:b w:val="false"/>
          <w:i w:val="false"/>
          <w:color w:val="000000"/>
          <w:sz w:val="28"/>
        </w:rPr>
        <w:t xml:space="preserve">
      1) мемлекеттiк қызметтiк тұрғын үй - мемлекеттiк органдар мен ұйымдардың қызметкерлерiне олардың қызметтiк мiндеттерiн орындауы кезеңiне сатып алу құқығынсыз берiлетiн тұрғын үй; </w:t>
      </w:r>
      <w:r>
        <w:br/>
      </w:r>
      <w:r>
        <w:rPr>
          <w:rFonts w:ascii="Times New Roman"/>
          <w:b w:val="false"/>
          <w:i w:val="false"/>
          <w:color w:val="000000"/>
          <w:sz w:val="28"/>
        </w:rPr>
        <w:t xml:space="preserve">
      2) қызметтiк тұрғын үйге теңестiрiлген мемлекеттiк тұрғын үй - мемлекеттiк органдар мен ұйымдардың қызметкерлерiне осы Уақытша ережеде және меншiк иесi мен тұрғын үйдi жалға алушының арасындағы шартта белгiленген шарттар мен тәртiп бойынша сатып алу құқығымен берiлетiн тұрғын үй. </w:t>
      </w:r>
      <w:r>
        <w:br/>
      </w:r>
      <w:r>
        <w:rPr>
          <w:rFonts w:ascii="Times New Roman"/>
          <w:b w:val="false"/>
          <w:i w:val="false"/>
          <w:color w:val="000000"/>
          <w:sz w:val="28"/>
        </w:rPr>
        <w:t xml:space="preserve">
      3. Мемлекеттiк органдардың Ақмола қаласында қалыптасуының одан кейiнгi кезеңдерiнде мемлекеттiк органдар мен ұйымдар қызметкерлерiнiң тұрғын үй проблемаларын шешу "Тұрғын үй қатынастары туралы" Қазақстан Республикасының Заңына сәйкес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II. Тұрғын үй беру ережелерi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Мемлекеттiк органның және ұйымның қызметкерi мен оның отбасы мүшелерiне тұрғын үй беру тұрғын үй иесiмен немесе ол уәкiлеттiк берген заңды тұлғамен жасалған мерзiмдi немесе мерзiмсiз шарттың негiзiнде жүзеге асырылады. Үлгi шарттың нысанын Қазақстан Республикасының Үкiметi бекiтедi. </w:t>
      </w:r>
      <w:r>
        <w:br/>
      </w:r>
      <w:r>
        <w:rPr>
          <w:rFonts w:ascii="Times New Roman"/>
          <w:b w:val="false"/>
          <w:i w:val="false"/>
          <w:color w:val="000000"/>
          <w:sz w:val="28"/>
        </w:rPr>
        <w:t xml:space="preserve">
      5. Шартта көрсетiлген тұру мерзiмi, егер мемлекеттiк қызметшi соған байланысты өзiне тұрғын үй берiлген еңбек қатынасын жалғастырса, ұзартылуы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Мемлекеттiк тұрғын үйден шығару ережелерi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Мемлекеттiк органның немесе ұйымның қызметкерiн және оның отбасы мүшелерiн соған байланысты аталған тұрғын үй берiлген еңбек қатынасын тоқтатқан кезде олар тұратын мемлекеттiк тұрғын үйден шығарудың шарттары мен тәртiбi Қазақстан Республикасының заңдарымен және тұрғын үй беру туралы шартпен реттеледi.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Мемлекеттiк тұрғын үйдi сатып алу кезiндегi </w:t>
      </w:r>
      <w:r>
        <w:br/>
      </w:r>
      <w:r>
        <w:rPr>
          <w:rFonts w:ascii="Times New Roman"/>
          <w:b w:val="false"/>
          <w:i w:val="false"/>
          <w:color w:val="000000"/>
          <w:sz w:val="28"/>
        </w:rPr>
        <w:t xml:space="preserve">
                           негiзгi шарттар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Кемiнде 10 жыл мемлекеттiк қызмет стажы бар мемлекеттiк органның және ұйымның қызметкерi онымен бiрге тұратын барлық кәмелетке толған отбасы мүшелерiнiң келiсiмiмен өзi тұратын қызметтiк тұрғын үйге теңестiрiлген мемлекеттiк тұрғын үйдi сатып алуға құқылы. </w:t>
      </w:r>
      <w:r>
        <w:br/>
      </w:r>
      <w:r>
        <w:rPr>
          <w:rFonts w:ascii="Times New Roman"/>
          <w:b w:val="false"/>
          <w:i w:val="false"/>
          <w:color w:val="000000"/>
          <w:sz w:val="28"/>
        </w:rPr>
        <w:t xml:space="preserve">
      8. Мемлекеттiк тұрғын үйдi сатып алу оны сатып алу сәтiндегi амортизациялар ескерiле отырып, оның баланстық құны бойынша жүргiзiледi. Сатып алу бiр уақытта немесе 10 жылдың iшiнде бөлiп-бөлiп жүргiзiлуi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Мемлекеттiк тұрғын үйдi сатып алудағы жеңiлдiктер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Мемлекеттiк органдар мен ұйымдардың сатып алуға жатпайтын мемлекеттiк қызметтiк тұрғын үй бөлiнетiн қызметкерлерiне қалауы бойынша, Қазақстан Республикасының аумағында жеке меншiк тұрғын үй салуға (сатып алуға) жеңiлдiктi несиенi кезектен тыс алу құқығы не қызметтiк тұрғын үйге теңестiрiлген мемлекеттiк тұрғын үйге құқық берiледi. </w:t>
      </w:r>
      <w:r>
        <w:br/>
      </w:r>
      <w:r>
        <w:rPr>
          <w:rFonts w:ascii="Times New Roman"/>
          <w:b w:val="false"/>
          <w:i w:val="false"/>
          <w:color w:val="000000"/>
          <w:sz w:val="28"/>
        </w:rPr>
        <w:t xml:space="preserve">
      10. Мемлекеттiк органның және ұйымның қызметкерiнiң қалауы бойынша жеке меншiк тұрғын үй салу (сатып алу) үшiн берiлетiн жеңiлдiктi несие сатуға жатпайтын қызметтiк тұрғын үйдiң орнына 30 жылға дейiн мерзiмде өтеу шартымен жылына 2 процент өсiмге берiледi. Аталған тұрғын үй Қазақстан Республикасы аумағының айрықша режимдегi елдi мекендер санатына жатпайтын кез келген елдi мекенде сатып алынуы немесе салынуы мүмкiн. </w:t>
      </w:r>
      <w:r>
        <w:br/>
      </w:r>
      <w:r>
        <w:rPr>
          <w:rFonts w:ascii="Times New Roman"/>
          <w:b w:val="false"/>
          <w:i w:val="false"/>
          <w:color w:val="000000"/>
          <w:sz w:val="28"/>
        </w:rPr>
        <w:t xml:space="preserve">
      11. Қызметтiк тұрғын үйге теңестiрiлген мемлекеттiк тұрғын үйдiң құны сатып алу кезiнде мемлекеттiк қызметте еңбек сiңiрген жылдарына (стажына) және мемлекеттiк қызметшi лауазымының жiктемесiне (санаты мен бiлiктiлiк сыныбына) қарай осы Уақытша ереженiң қосымшасына сәйкес сараланады. </w:t>
      </w:r>
      <w:r>
        <w:br/>
      </w:r>
      <w:r>
        <w:rPr>
          <w:rFonts w:ascii="Times New Roman"/>
          <w:b w:val="false"/>
          <w:i w:val="false"/>
          <w:color w:val="000000"/>
          <w:sz w:val="28"/>
        </w:rPr>
        <w:t>
 </w:t>
      </w:r>
    </w:p>
    <w:bookmarkEnd w:id="2"/>
    <w:bookmarkStart w:name="z10" w:id="3"/>
    <w:p>
      <w:pPr>
        <w:spacing w:after="0"/>
        <w:ind w:left="0"/>
        <w:jc w:val="both"/>
      </w:pPr>
      <w:r>
        <w:rPr>
          <w:rFonts w:ascii="Times New Roman"/>
          <w:b w:val="false"/>
          <w:i w:val="false"/>
          <w:color w:val="000000"/>
          <w:sz w:val="28"/>
        </w:rPr>
        <w:t>
                                                    Қосымша</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Мемлекеттiк органдар мен ұйымдардың мемлекеттiк қызметтегi </w:t>
      </w:r>
    </w:p>
    <w:bookmarkStart w:name="z1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еңбек сiңiрген жылдарына және лауазымдарының жiктемесiне</w:t>
      </w:r>
    </w:p>
    <w:p>
      <w:pPr>
        <w:spacing w:after="0"/>
        <w:ind w:left="0"/>
        <w:jc w:val="both"/>
      </w:pPr>
      <w:r>
        <w:rPr>
          <w:rFonts w:ascii="Times New Roman"/>
          <w:b w:val="false"/>
          <w:i w:val="false"/>
          <w:color w:val="000000"/>
          <w:sz w:val="28"/>
        </w:rPr>
        <w:t>       байланысты қызметтiкке теңестiрiлген мемлекеттiк тұрғын</w:t>
      </w:r>
    </w:p>
    <w:p>
      <w:pPr>
        <w:spacing w:after="0"/>
        <w:ind w:left="0"/>
        <w:jc w:val="both"/>
      </w:pPr>
      <w:r>
        <w:rPr>
          <w:rFonts w:ascii="Times New Roman"/>
          <w:b w:val="false"/>
          <w:i w:val="false"/>
          <w:color w:val="000000"/>
          <w:sz w:val="28"/>
        </w:rPr>
        <w:t>      үйлердiң жалпы құнының проценттерiндегi жекешелендiру құны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Еңбек |     Мемлекеттiк қызметшiлердiң жiктемелiк сипаттамасы</w:t>
      </w:r>
    </w:p>
    <w:p>
      <w:pPr>
        <w:spacing w:after="0"/>
        <w:ind w:left="0"/>
        <w:jc w:val="both"/>
      </w:pPr>
      <w:r>
        <w:rPr>
          <w:rFonts w:ascii="Times New Roman"/>
          <w:b w:val="false"/>
          <w:i w:val="false"/>
          <w:color w:val="000000"/>
          <w:sz w:val="28"/>
        </w:rPr>
        <w:t xml:space="preserve"> сiңiр.|_________________________________________________________</w:t>
      </w:r>
    </w:p>
    <w:p>
      <w:pPr>
        <w:spacing w:after="0"/>
        <w:ind w:left="0"/>
        <w:jc w:val="both"/>
      </w:pPr>
      <w:r>
        <w:rPr>
          <w:rFonts w:ascii="Times New Roman"/>
          <w:b w:val="false"/>
          <w:i w:val="false"/>
          <w:color w:val="000000"/>
          <w:sz w:val="28"/>
        </w:rPr>
        <w:t xml:space="preserve"> ген   |      Жоғарғы санат      | Бiрiншi санат |   Екiншi санат</w:t>
      </w:r>
    </w:p>
    <w:p>
      <w:pPr>
        <w:spacing w:after="0"/>
        <w:ind w:left="0"/>
        <w:jc w:val="both"/>
      </w:pPr>
      <w:r>
        <w:rPr>
          <w:rFonts w:ascii="Times New Roman"/>
          <w:b w:val="false"/>
          <w:i w:val="false"/>
          <w:color w:val="000000"/>
          <w:sz w:val="28"/>
        </w:rPr>
        <w:t xml:space="preserve"> жылы  |_________________________|_______________|_______________</w:t>
      </w:r>
    </w:p>
    <w:p>
      <w:pPr>
        <w:spacing w:after="0"/>
        <w:ind w:left="0"/>
        <w:jc w:val="both"/>
      </w:pPr>
      <w:r>
        <w:rPr>
          <w:rFonts w:ascii="Times New Roman"/>
          <w:b w:val="false"/>
          <w:i w:val="false"/>
          <w:color w:val="000000"/>
          <w:sz w:val="28"/>
        </w:rPr>
        <w:t>       | Жоғарғы |   I   |   II  |  III  |   IV  |   V   |   VI  |</w:t>
      </w:r>
    </w:p>
    <w:p>
      <w:pPr>
        <w:spacing w:after="0"/>
        <w:ind w:left="0"/>
        <w:jc w:val="both"/>
      </w:pPr>
      <w:r>
        <w:rPr>
          <w:rFonts w:ascii="Times New Roman"/>
          <w:b w:val="false"/>
          <w:i w:val="false"/>
          <w:color w:val="000000"/>
          <w:sz w:val="28"/>
        </w:rPr>
        <w:t>       |  сынып  | сынып | сынып | сынып | сынып | сынып | сынып |</w:t>
      </w:r>
    </w:p>
    <w:p>
      <w:pPr>
        <w:spacing w:after="0"/>
        <w:ind w:left="0"/>
        <w:jc w:val="both"/>
      </w:pPr>
      <w:r>
        <w:rPr>
          <w:rFonts w:ascii="Times New Roman"/>
          <w:b w:val="false"/>
          <w:i w:val="false"/>
          <w:color w:val="000000"/>
          <w:sz w:val="28"/>
        </w:rPr>
        <w:t>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0        16     28       40     52      64       76</w:t>
      </w:r>
    </w:p>
    <w:p>
      <w:pPr>
        <w:spacing w:after="0"/>
        <w:ind w:left="0"/>
        <w:jc w:val="both"/>
      </w:pPr>
      <w:r>
        <w:rPr>
          <w:rFonts w:ascii="Times New Roman"/>
          <w:b w:val="false"/>
          <w:i w:val="false"/>
          <w:color w:val="000000"/>
          <w:sz w:val="28"/>
        </w:rPr>
        <w:t>  11        0        12     24       36     48      60       72</w:t>
      </w:r>
    </w:p>
    <w:p>
      <w:pPr>
        <w:spacing w:after="0"/>
        <w:ind w:left="0"/>
        <w:jc w:val="both"/>
      </w:pPr>
      <w:r>
        <w:rPr>
          <w:rFonts w:ascii="Times New Roman"/>
          <w:b w:val="false"/>
          <w:i w:val="false"/>
          <w:color w:val="000000"/>
          <w:sz w:val="28"/>
        </w:rPr>
        <w:t>  12        0         8     20       32     44      56       68</w:t>
      </w:r>
    </w:p>
    <w:p>
      <w:pPr>
        <w:spacing w:after="0"/>
        <w:ind w:left="0"/>
        <w:jc w:val="both"/>
      </w:pPr>
      <w:r>
        <w:rPr>
          <w:rFonts w:ascii="Times New Roman"/>
          <w:b w:val="false"/>
          <w:i w:val="false"/>
          <w:color w:val="000000"/>
          <w:sz w:val="28"/>
        </w:rPr>
        <w:t>  13        0         4     16       28     40      52       64</w:t>
      </w:r>
    </w:p>
    <w:p>
      <w:pPr>
        <w:spacing w:after="0"/>
        <w:ind w:left="0"/>
        <w:jc w:val="both"/>
      </w:pPr>
      <w:r>
        <w:rPr>
          <w:rFonts w:ascii="Times New Roman"/>
          <w:b w:val="false"/>
          <w:i w:val="false"/>
          <w:color w:val="000000"/>
          <w:sz w:val="28"/>
        </w:rPr>
        <w:t>  14        0         0     12       24     36      48       60</w:t>
      </w:r>
    </w:p>
    <w:p>
      <w:pPr>
        <w:spacing w:after="0"/>
        <w:ind w:left="0"/>
        <w:jc w:val="both"/>
      </w:pPr>
      <w:r>
        <w:rPr>
          <w:rFonts w:ascii="Times New Roman"/>
          <w:b w:val="false"/>
          <w:i w:val="false"/>
          <w:color w:val="000000"/>
          <w:sz w:val="28"/>
        </w:rPr>
        <w:t>  15        0         0      8       20     32      44       56</w:t>
      </w:r>
    </w:p>
    <w:p>
      <w:pPr>
        <w:spacing w:after="0"/>
        <w:ind w:left="0"/>
        <w:jc w:val="both"/>
      </w:pPr>
      <w:r>
        <w:rPr>
          <w:rFonts w:ascii="Times New Roman"/>
          <w:b w:val="false"/>
          <w:i w:val="false"/>
          <w:color w:val="000000"/>
          <w:sz w:val="28"/>
        </w:rPr>
        <w:t>  16        0         0      4       16     28      40       52</w:t>
      </w:r>
    </w:p>
    <w:p>
      <w:pPr>
        <w:spacing w:after="0"/>
        <w:ind w:left="0"/>
        <w:jc w:val="both"/>
      </w:pPr>
      <w:r>
        <w:rPr>
          <w:rFonts w:ascii="Times New Roman"/>
          <w:b w:val="false"/>
          <w:i w:val="false"/>
          <w:color w:val="000000"/>
          <w:sz w:val="28"/>
        </w:rPr>
        <w:t>  17        0         0      0       12     24      36       48</w:t>
      </w:r>
    </w:p>
    <w:p>
      <w:pPr>
        <w:spacing w:after="0"/>
        <w:ind w:left="0"/>
        <w:jc w:val="both"/>
      </w:pPr>
      <w:r>
        <w:rPr>
          <w:rFonts w:ascii="Times New Roman"/>
          <w:b w:val="false"/>
          <w:i w:val="false"/>
          <w:color w:val="000000"/>
          <w:sz w:val="28"/>
        </w:rPr>
        <w:t>  18        0         0      0        8     20      32       44</w:t>
      </w:r>
    </w:p>
    <w:p>
      <w:pPr>
        <w:spacing w:after="0"/>
        <w:ind w:left="0"/>
        <w:jc w:val="both"/>
      </w:pPr>
      <w:r>
        <w:rPr>
          <w:rFonts w:ascii="Times New Roman"/>
          <w:b w:val="false"/>
          <w:i w:val="false"/>
          <w:color w:val="000000"/>
          <w:sz w:val="28"/>
        </w:rPr>
        <w:t>  19        0         0      0        4     16      28       40</w:t>
      </w:r>
    </w:p>
    <w:p>
      <w:pPr>
        <w:spacing w:after="0"/>
        <w:ind w:left="0"/>
        <w:jc w:val="both"/>
      </w:pPr>
      <w:r>
        <w:rPr>
          <w:rFonts w:ascii="Times New Roman"/>
          <w:b w:val="false"/>
          <w:i w:val="false"/>
          <w:color w:val="000000"/>
          <w:sz w:val="28"/>
        </w:rPr>
        <w:t>  20        0         0      0        0     12      24       36</w:t>
      </w:r>
    </w:p>
    <w:p>
      <w:pPr>
        <w:spacing w:after="0"/>
        <w:ind w:left="0"/>
        <w:jc w:val="both"/>
      </w:pPr>
      <w:r>
        <w:rPr>
          <w:rFonts w:ascii="Times New Roman"/>
          <w:b w:val="false"/>
          <w:i w:val="false"/>
          <w:color w:val="000000"/>
          <w:sz w:val="28"/>
        </w:rPr>
        <w:t>  21        0         0      0        0      8      20       32</w:t>
      </w:r>
    </w:p>
    <w:p>
      <w:pPr>
        <w:spacing w:after="0"/>
        <w:ind w:left="0"/>
        <w:jc w:val="both"/>
      </w:pPr>
      <w:r>
        <w:rPr>
          <w:rFonts w:ascii="Times New Roman"/>
          <w:b w:val="false"/>
          <w:i w:val="false"/>
          <w:color w:val="000000"/>
          <w:sz w:val="28"/>
        </w:rPr>
        <w:t>  22        0         0      0        0      4      16       28</w:t>
      </w:r>
    </w:p>
    <w:p>
      <w:pPr>
        <w:spacing w:after="0"/>
        <w:ind w:left="0"/>
        <w:jc w:val="both"/>
      </w:pPr>
      <w:r>
        <w:rPr>
          <w:rFonts w:ascii="Times New Roman"/>
          <w:b w:val="false"/>
          <w:i w:val="false"/>
          <w:color w:val="000000"/>
          <w:sz w:val="28"/>
        </w:rPr>
        <w:t>  23        0         0      0        0      0      12       24</w:t>
      </w:r>
    </w:p>
    <w:p>
      <w:pPr>
        <w:spacing w:after="0"/>
        <w:ind w:left="0"/>
        <w:jc w:val="both"/>
      </w:pPr>
      <w:r>
        <w:rPr>
          <w:rFonts w:ascii="Times New Roman"/>
          <w:b w:val="false"/>
          <w:i w:val="false"/>
          <w:color w:val="000000"/>
          <w:sz w:val="28"/>
        </w:rPr>
        <w:t>  24        0         0      0        0      0       8       20</w:t>
      </w:r>
    </w:p>
    <w:p>
      <w:pPr>
        <w:spacing w:after="0"/>
        <w:ind w:left="0"/>
        <w:jc w:val="both"/>
      </w:pPr>
      <w:r>
        <w:rPr>
          <w:rFonts w:ascii="Times New Roman"/>
          <w:b w:val="false"/>
          <w:i w:val="false"/>
          <w:color w:val="000000"/>
          <w:sz w:val="28"/>
        </w:rPr>
        <w:t>  25        0         0      0        0      0       4       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   Үшiншi санат  |Төртiншi санат |  Бесiншi санат|</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   VII   |  VIII |  IX   |   X   |   ХI  |  ХII  |</w:t>
      </w:r>
    </w:p>
    <w:p>
      <w:pPr>
        <w:spacing w:after="0"/>
        <w:ind w:left="0"/>
        <w:jc w:val="both"/>
      </w:pPr>
      <w:r>
        <w:rPr>
          <w:rFonts w:ascii="Times New Roman"/>
          <w:b w:val="false"/>
          <w:i w:val="false"/>
          <w:color w:val="000000"/>
          <w:sz w:val="28"/>
        </w:rPr>
        <w:t>  сынып  | сынып | сынып | сынып | сынып | сынып |</w:t>
      </w:r>
    </w:p>
    <w:p>
      <w:pPr>
        <w:spacing w:after="0"/>
        <w:ind w:left="0"/>
        <w:jc w:val="both"/>
      </w:pPr>
      <w:r>
        <w:rPr>
          <w:rFonts w:ascii="Times New Roman"/>
          <w:b w:val="false"/>
          <w:i w:val="false"/>
          <w:color w:val="000000"/>
          <w:sz w:val="28"/>
        </w:rPr>
        <w:t>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10. 88      100     100     100     100     100</w:t>
      </w:r>
    </w:p>
    <w:p>
      <w:pPr>
        <w:spacing w:after="0"/>
        <w:ind w:left="0"/>
        <w:jc w:val="both"/>
      </w:pPr>
      <w:r>
        <w:rPr>
          <w:rFonts w:ascii="Times New Roman"/>
          <w:b w:val="false"/>
          <w:i w:val="false"/>
          <w:color w:val="000000"/>
          <w:sz w:val="28"/>
        </w:rPr>
        <w:t>11. 84       96     100     100     100     100</w:t>
      </w:r>
    </w:p>
    <w:p>
      <w:pPr>
        <w:spacing w:after="0"/>
        <w:ind w:left="0"/>
        <w:jc w:val="both"/>
      </w:pPr>
      <w:r>
        <w:rPr>
          <w:rFonts w:ascii="Times New Roman"/>
          <w:b w:val="false"/>
          <w:i w:val="false"/>
          <w:color w:val="000000"/>
          <w:sz w:val="28"/>
        </w:rPr>
        <w:t>12. 80       92     100     100     100     100</w:t>
      </w:r>
    </w:p>
    <w:p>
      <w:pPr>
        <w:spacing w:after="0"/>
        <w:ind w:left="0"/>
        <w:jc w:val="both"/>
      </w:pPr>
      <w:r>
        <w:rPr>
          <w:rFonts w:ascii="Times New Roman"/>
          <w:b w:val="false"/>
          <w:i w:val="false"/>
          <w:color w:val="000000"/>
          <w:sz w:val="28"/>
        </w:rPr>
        <w:t>13. 76       88     100     100     100     100</w:t>
      </w:r>
    </w:p>
    <w:p>
      <w:pPr>
        <w:spacing w:after="0"/>
        <w:ind w:left="0"/>
        <w:jc w:val="both"/>
      </w:pPr>
      <w:r>
        <w:rPr>
          <w:rFonts w:ascii="Times New Roman"/>
          <w:b w:val="false"/>
          <w:i w:val="false"/>
          <w:color w:val="000000"/>
          <w:sz w:val="28"/>
        </w:rPr>
        <w:t>14. 72       84      96     100     100     100</w:t>
      </w:r>
    </w:p>
    <w:p>
      <w:pPr>
        <w:spacing w:after="0"/>
        <w:ind w:left="0"/>
        <w:jc w:val="both"/>
      </w:pPr>
      <w:r>
        <w:rPr>
          <w:rFonts w:ascii="Times New Roman"/>
          <w:b w:val="false"/>
          <w:i w:val="false"/>
          <w:color w:val="000000"/>
          <w:sz w:val="28"/>
        </w:rPr>
        <w:t>15. 68       80      92     100     100     100</w:t>
      </w:r>
    </w:p>
    <w:p>
      <w:pPr>
        <w:spacing w:after="0"/>
        <w:ind w:left="0"/>
        <w:jc w:val="both"/>
      </w:pPr>
      <w:r>
        <w:rPr>
          <w:rFonts w:ascii="Times New Roman"/>
          <w:b w:val="false"/>
          <w:i w:val="false"/>
          <w:color w:val="000000"/>
          <w:sz w:val="28"/>
        </w:rPr>
        <w:t>16. 64       76      88     100     100     100</w:t>
      </w:r>
    </w:p>
    <w:p>
      <w:pPr>
        <w:spacing w:after="0"/>
        <w:ind w:left="0"/>
        <w:jc w:val="both"/>
      </w:pPr>
      <w:r>
        <w:rPr>
          <w:rFonts w:ascii="Times New Roman"/>
          <w:b w:val="false"/>
          <w:i w:val="false"/>
          <w:color w:val="000000"/>
          <w:sz w:val="28"/>
        </w:rPr>
        <w:t>17. 60       72      84      96     100     100</w:t>
      </w:r>
    </w:p>
    <w:p>
      <w:pPr>
        <w:spacing w:after="0"/>
        <w:ind w:left="0"/>
        <w:jc w:val="both"/>
      </w:pPr>
      <w:r>
        <w:rPr>
          <w:rFonts w:ascii="Times New Roman"/>
          <w:b w:val="false"/>
          <w:i w:val="false"/>
          <w:color w:val="000000"/>
          <w:sz w:val="28"/>
        </w:rPr>
        <w:t>18. 56       68      80      92     100     100</w:t>
      </w:r>
    </w:p>
    <w:p>
      <w:pPr>
        <w:spacing w:after="0"/>
        <w:ind w:left="0"/>
        <w:jc w:val="both"/>
      </w:pPr>
      <w:r>
        <w:rPr>
          <w:rFonts w:ascii="Times New Roman"/>
          <w:b w:val="false"/>
          <w:i w:val="false"/>
          <w:color w:val="000000"/>
          <w:sz w:val="28"/>
        </w:rPr>
        <w:t>19. 52       64      76      88     100     100</w:t>
      </w:r>
    </w:p>
    <w:p>
      <w:pPr>
        <w:spacing w:after="0"/>
        <w:ind w:left="0"/>
        <w:jc w:val="both"/>
      </w:pPr>
      <w:r>
        <w:rPr>
          <w:rFonts w:ascii="Times New Roman"/>
          <w:b w:val="false"/>
          <w:i w:val="false"/>
          <w:color w:val="000000"/>
          <w:sz w:val="28"/>
        </w:rPr>
        <w:t>20. 48       60      72      84      96     100</w:t>
      </w:r>
    </w:p>
    <w:p>
      <w:pPr>
        <w:spacing w:after="0"/>
        <w:ind w:left="0"/>
        <w:jc w:val="both"/>
      </w:pPr>
      <w:r>
        <w:rPr>
          <w:rFonts w:ascii="Times New Roman"/>
          <w:b w:val="false"/>
          <w:i w:val="false"/>
          <w:color w:val="000000"/>
          <w:sz w:val="28"/>
        </w:rPr>
        <w:t>21. 44       56      68      80      92     100</w:t>
      </w:r>
    </w:p>
    <w:p>
      <w:pPr>
        <w:spacing w:after="0"/>
        <w:ind w:left="0"/>
        <w:jc w:val="both"/>
      </w:pPr>
      <w:r>
        <w:rPr>
          <w:rFonts w:ascii="Times New Roman"/>
          <w:b w:val="false"/>
          <w:i w:val="false"/>
          <w:color w:val="000000"/>
          <w:sz w:val="28"/>
        </w:rPr>
        <w:t>22. 40       52      64      76      88     100</w:t>
      </w:r>
    </w:p>
    <w:p>
      <w:pPr>
        <w:spacing w:after="0"/>
        <w:ind w:left="0"/>
        <w:jc w:val="both"/>
      </w:pPr>
      <w:r>
        <w:rPr>
          <w:rFonts w:ascii="Times New Roman"/>
          <w:b w:val="false"/>
          <w:i w:val="false"/>
          <w:color w:val="000000"/>
          <w:sz w:val="28"/>
        </w:rPr>
        <w:t>23. 36       48      60      72      84      96</w:t>
      </w:r>
    </w:p>
    <w:p>
      <w:pPr>
        <w:spacing w:after="0"/>
        <w:ind w:left="0"/>
        <w:jc w:val="both"/>
      </w:pPr>
      <w:r>
        <w:rPr>
          <w:rFonts w:ascii="Times New Roman"/>
          <w:b w:val="false"/>
          <w:i w:val="false"/>
          <w:color w:val="000000"/>
          <w:sz w:val="28"/>
        </w:rPr>
        <w:t>24. 32       44      56      68      80      92</w:t>
      </w:r>
    </w:p>
    <w:p>
      <w:pPr>
        <w:spacing w:after="0"/>
        <w:ind w:left="0"/>
        <w:jc w:val="both"/>
      </w:pPr>
      <w:r>
        <w:rPr>
          <w:rFonts w:ascii="Times New Roman"/>
          <w:b w:val="false"/>
          <w:i w:val="false"/>
          <w:color w:val="000000"/>
          <w:sz w:val="28"/>
        </w:rPr>
        <w:t>25. 28       40      52      64      76      88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