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eb69" w14:textId="a30e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азаматтығы туралы" Қазақстан Республикасының Заңына және азаматтық мәселелерiн реттейтiн басқа да нормативтiк құқықтық кесiмдерге өзгерiстер енгiзу жөнiнде ұсыныстар әзiрлеу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12 тамыздағы N 222-ө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азаматтығы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азаматтық мәселелерiн реттейтiн басқа да нормативтiк құқықтық кесiмдерге өзгерiстер енгiзу жөнiнде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Бейбiт Жұмағұлұлы          Әкiмшiлігі Мемлекеттiк-құқықтық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құқық қорғау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 азаматтық және кешiрiм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секторының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Дәуренбек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Ырысқали Рақымұлы          министрлiгiнiң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Cepгeeв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     министрлігінiң Көшi-қон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Құлмағамбетов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Амангелдiұлы        министрлiгiнiң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құқық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Мелдешев                 - Қазақстан Республикасы Орталық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Сәрсенбайұлы         комиссиясының мүшесi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Әшiмхан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Әшiмханұлы            министрлiгi Заңнама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 - Қазақстан Республикасының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Қаскенұлы            демография жөнiндегi агенттігiнің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босқындармен, халықаралық келiсiмдермен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сараптама жұмыстары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бөлiмнiң жетекшi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Мазов                    - "Қазақстан Республикасының Заң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Ернат Асқарқожаұлы         жабық акционерлiк қоғамының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2004 жылғы 30 тамызға дейiн Қазақстан Республикасының Үкiметiне "Қазақстан Республикасының азаматтығы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азаматтық мәселелерiн реттейтiн басқа да нормативтік құқықтық кесiмдерге өзгерiстер енгізу жөнiнде ұсыныстар жасасын.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