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6d55" w14:textId="e466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iздiгі туралы" Қазақстан Республикасының Заңына өзгерістер мен толықтырулар енгiзу туралы" Қазақстан Республикасының Заңын іске асыру жөнi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8 қазандағы N 306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"Өрт қауiпсiздiгі туралы" Қазақстан Республикасының Заңына өзгерiстер мен толықтырулар енгізу туралы" Қазақстан Республикасының 2003 жылғы 29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қоса берiлiп отырған Қазақстан Республикасы Yкiметiнiң нормативтiк құқықтық кесiмдерiнiң тізбесi бекі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өтенше жағдайлар министрлiгі тiзбеге сәйкес нормативтiк құқықтық кесiмдердiң жобаларын әзiрлесiн және Қазақстан Республикасы Yкiметiнiң бекiтуiне енгі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8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6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Өрт қауіпсiздiгі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а өзгерістер мен толықтырулар енгiз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 іске асыру мақсат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былдануы қажет Қазақстан Республикасы Үкім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ік құқықтық кесімдерінің тізб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 құқықтық      | Нормативтiк | Орындалу  |Ор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iмнiң атауы         |   құқықтық  | мерзiмi   |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|кесiмнiң түрi|           |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|             |           | 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рт қауiпсiздiгi талаптарын  Қазақстан      2004 жылғы   ҚР Т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iлейтiн стандарттардың,  Республикасы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ар мен ережелердiң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ларын, сондай-ақ объект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ға осы норм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i жоқ объектi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ға арналған жо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дердi келiс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өртке қарсы      Қазақстан      2004 жылғы   ҚР Т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органдары қызметке.   Республикасы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iнiң қызметтiк мiндеттерi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ызметтік борышын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 кезеңiнде ж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ы кезiнде және ол құрб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ған (қайтыс бол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 оны алуға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адамдарға бер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 жолғы өтемақын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ын үйдi ұстауға және     Қазақстан      2004 жылғы   ҚР Т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дық қызметтерге ақы  Республикасы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ге ақшалай өтемақы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нетiн мемлекеттiк өртке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iнiң тiз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