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2ecd" w14:textId="d1a2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Пәкiстан Ислам Республикасы "Пәкiстан мұсылман лигасы" басқару партиясының Вице-президентi Гохар Аюб Ханның Қазақстан Республикасына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2007 жылғы 28 наурыздағы N 71-ө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29 наурыз - 2 сәуiрде Астана қаласында Пәкiстан Ислам Республикасы "Пәкiстан мұсылман лигасы" басқару партиясының Вице-президентi Гохар Аюб Ханның Қазақстан Республикасына сапарын (бұдан әрi - сапар)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w:t>
      </w:r>
      <w:r>
        <w:br/>
      </w:r>
      <w:r>
        <w:rPr>
          <w:rFonts w:ascii="Times New Roman"/>
          <w:b w:val="false"/>
          <w:i w:val="false"/>
          <w:color w:val="000000"/>
          <w:sz w:val="28"/>
        </w:rPr>
        <w:t>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делегация мүшелерiнің қонақ үйде тұруына ақы төлеуге 2007 жылға арналған республикалық бюджетте 006 "Өкiлдiк шығындар" бағдарламасы бойынша көзделген қаражат есебiнен 346456 (үш жүз қырық алты мың төрт жүз елу алты)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министрлiгi сапарды бұқаралық ақпарат құралдарында жария 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өкiмнiң iске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