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d887" w14:textId="3d4d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әскерлердi жасақтау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25 наурыздағы N 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iшкi әскерлерi туралы" 1992 жылғы 23
маусымдағы N 1408 Қазақстан Республикасы Заңының 8 және 9-баптары
негiзiнде және олардың мерзiмдi қызметтегi әскери қызметшiлерге
деген қажетiн қамтамасыз ету мақсатында Қазақстан Республикасының
Қорғаныс министрлiгi Қазақстан Республикасы Iшкi iстер
министрлiгiнiң iрiктеуi бойынша Қазақстан жүргiзушiлер одағының
автомектептерiнде аталған қоғамның ерiктi көмек көрсету ретiндегi
қаражаты есебiнен әзiрлiктен өткен әскерге шақырылу жасындағы
азаматтарды, жыл сайынғы нормативтiк қажеттiлiкке сәйкес, 1996-2000
жылдары iшкi әскерлердi жасақтау үшiн жiберетiн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