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be45" w14:textId="5e9b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Жарлығына ТҮСІНДІРМЕ</w:t>
      </w:r>
    </w:p>
    <w:p>
      <w:pPr>
        <w:spacing w:after="0"/>
        <w:ind w:left="0"/>
        <w:jc w:val="both"/>
      </w:pPr>
      <w:r>
        <w:rPr>
          <w:rFonts w:ascii="Times New Roman"/>
          <w:b w:val="false"/>
          <w:i w:val="false"/>
          <w:color w:val="000000"/>
          <w:sz w:val="28"/>
        </w:rPr>
        <w:t>Қазақстан Республикасы Президенті Әкімшілігінің Құқық қорғау жүйесі бөлімінің ТҮСІНДІРМЕСІ</w:t>
      </w:r>
    </w:p>
    <w:p>
      <w:pPr>
        <w:spacing w:after="0"/>
        <w:ind w:left="0"/>
        <w:jc w:val="left"/>
      </w:pPr>
      <w:bookmarkStart w:name="z0" w:id="0"/>
      <w:r>
        <w:rPr>
          <w:rFonts w:ascii="Times New Roman"/>
          <w:b/>
          <w:i w:val="false"/>
          <w:color w:val="000000"/>
        </w:rPr>
        <w:t xml:space="preserve">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Жарлығына</w:t>
      </w:r>
      <w:r>
        <w:br/>
      </w:r>
      <w:r>
        <w:rPr>
          <w:rFonts w:ascii="Times New Roman"/>
          <w:b/>
          <w:i w:val="false"/>
          <w:color w:val="000000"/>
        </w:rPr>
        <w:t>ТҮСІНДІРМЕ</w:t>
      </w:r>
    </w:p>
    <w:bookmarkEnd w:id="0"/>
    <w:p>
      <w:pPr>
        <w:spacing w:after="0"/>
        <w:ind w:left="0"/>
        <w:jc w:val="both"/>
      </w:pPr>
      <w:r>
        <w:rPr>
          <w:rFonts w:ascii="Times New Roman"/>
          <w:b w:val="false"/>
          <w:i w:val="false"/>
          <w:color w:val="000000"/>
          <w:sz w:val="28"/>
        </w:rPr>
        <w:t xml:space="preserve">
      Сыбайлас жемқорлыққа қарсы стратегия "Қазақстан-2050" </w:t>
      </w:r>
      <w:r>
        <w:rPr>
          <w:rFonts w:ascii="Times New Roman"/>
          <w:b w:val="false"/>
          <w:i w:val="false"/>
          <w:color w:val="000000"/>
          <w:sz w:val="28"/>
        </w:rPr>
        <w:t>Стратегиясы</w:t>
      </w:r>
      <w:r>
        <w:rPr>
          <w:rFonts w:ascii="Times New Roman"/>
          <w:b w:val="false"/>
          <w:i w:val="false"/>
          <w:color w:val="000000"/>
          <w:sz w:val="28"/>
        </w:rPr>
        <w:t xml:space="preserve"> – қалыптасқан мемлекеттің жаңа саяси бағыты" атты стратегияда айқындалған мақсаттар мен міндеттерді және бесінші шақырылымдағы Парламенттің 2014 жылғы 2 қыркүйектегі төртінші сессиясының ашылуында Мемлекет басшысының берген тапсырмаларын іске асыруға әзірленген.</w:t>
      </w:r>
    </w:p>
    <w:p>
      <w:pPr>
        <w:spacing w:after="0"/>
        <w:ind w:left="0"/>
        <w:jc w:val="both"/>
      </w:pPr>
      <w:r>
        <w:rPr>
          <w:rFonts w:ascii="Times New Roman"/>
          <w:b w:val="false"/>
          <w:i w:val="false"/>
          <w:color w:val="000000"/>
          <w:sz w:val="28"/>
        </w:rPr>
        <w:t>
      Стратегия мемлекеттің алдағы жылдарға арналған сыбайлас жемқорлыққа қарсы саясатының негізгі бағыттарын көрсетеді және сыбайлас жемқорлықтың алғышарттарын, оны тудыратын себептер мен жағдайларды жоюға, оның деңгейін қысқартуға ықпал ететін кешенді шараларды қамтиды.</w:t>
      </w:r>
    </w:p>
    <w:p>
      <w:pPr>
        <w:spacing w:after="0"/>
        <w:ind w:left="0"/>
        <w:jc w:val="both"/>
      </w:pPr>
      <w:r>
        <w:rPr>
          <w:rFonts w:ascii="Times New Roman"/>
          <w:b w:val="false"/>
          <w:i w:val="false"/>
          <w:color w:val="000000"/>
          <w:sz w:val="28"/>
        </w:rPr>
        <w:t>
      Стратегияда еліміздегі сыбайлас жемқорлыққа қарсы күрестің ахуалына талдау жасалады, сыбайлас жемқорлық көріністеріне ықпал ететін негізгі факторлар сипатталады, оларды жою жөніндегі тәсілдер мен басым шаралар, Стратегияны іске асыру тетіктері көрсетіледі.</w:t>
      </w:r>
    </w:p>
    <w:p>
      <w:pPr>
        <w:spacing w:after="0"/>
        <w:ind w:left="0"/>
        <w:jc w:val="both"/>
      </w:pPr>
      <w:r>
        <w:rPr>
          <w:rFonts w:ascii="Times New Roman"/>
          <w:b w:val="false"/>
          <w:i w:val="false"/>
          <w:color w:val="000000"/>
          <w:sz w:val="28"/>
        </w:rPr>
        <w:t>
      Стратегияны іске асыру нәтижесі халыққа мемлекеттік көрсетілетін қызметтердің сапасын, мемлекет институттарына қоғамның сенімін, азаматтардың құқықтық сауаты мен сыбайлас жемқорлыққа қарсы күрес мәдениеті деңгейін көтеру, сондай-ақ еліміздің халықаралық рейтінгін жақсарту болуы тиіс.</w:t>
      </w:r>
    </w:p>
    <w:p>
      <w:pPr>
        <w:spacing w:after="0"/>
        <w:ind w:left="0"/>
        <w:jc w:val="both"/>
      </w:pPr>
      <w:r>
        <w:rPr>
          <w:rFonts w:ascii="Times New Roman"/>
          <w:b w:val="false"/>
          <w:i w:val="false"/>
          <w:color w:val="000000"/>
          <w:sz w:val="28"/>
        </w:rPr>
        <w:t>
      Стратегияның сыбайлас жемқорлыққа қарсы іс-қимылының түйінді бағыттары:</w:t>
      </w:r>
    </w:p>
    <w:p>
      <w:pPr>
        <w:spacing w:after="0"/>
        <w:ind w:left="0"/>
        <w:jc w:val="both"/>
      </w:pPr>
      <w:r>
        <w:rPr>
          <w:rFonts w:ascii="Times New Roman"/>
          <w:b w:val="false"/>
          <w:i w:val="false"/>
          <w:color w:val="000000"/>
          <w:sz w:val="28"/>
        </w:rPr>
        <w:t>
      1) мемлекеттік қызмет саласындағы сыбайлас жемқорлыққа қарсы іс-қимыл;</w:t>
      </w:r>
    </w:p>
    <w:p>
      <w:pPr>
        <w:spacing w:after="0"/>
        <w:ind w:left="0"/>
        <w:jc w:val="both"/>
      </w:pPr>
      <w:r>
        <w:rPr>
          <w:rFonts w:ascii="Times New Roman"/>
          <w:b w:val="false"/>
          <w:i w:val="false"/>
          <w:color w:val="000000"/>
          <w:sz w:val="28"/>
        </w:rPr>
        <w:t>
      2) қоғамдық бақылау институтын енгізу;</w:t>
      </w:r>
    </w:p>
    <w:p>
      <w:pPr>
        <w:spacing w:after="0"/>
        <w:ind w:left="0"/>
        <w:jc w:val="both"/>
      </w:pPr>
      <w:r>
        <w:rPr>
          <w:rFonts w:ascii="Times New Roman"/>
          <w:b w:val="false"/>
          <w:i w:val="false"/>
          <w:color w:val="000000"/>
          <w:sz w:val="28"/>
        </w:rPr>
        <w:t>
      3) квазимемлекеттік және жекеше сектордағы сыбайлас жемқорлыққа қарсы іс-қимыл;</w:t>
      </w:r>
    </w:p>
    <w:p>
      <w:pPr>
        <w:spacing w:after="0"/>
        <w:ind w:left="0"/>
        <w:jc w:val="both"/>
      </w:pPr>
      <w:r>
        <w:rPr>
          <w:rFonts w:ascii="Times New Roman"/>
          <w:b w:val="false"/>
          <w:i w:val="false"/>
          <w:color w:val="000000"/>
          <w:sz w:val="28"/>
        </w:rPr>
        <w:t>
      4) сот және құқық қорғау органдарында сыбайлас жемқорлықтың алдын алу;</w:t>
      </w:r>
    </w:p>
    <w:p>
      <w:pPr>
        <w:spacing w:after="0"/>
        <w:ind w:left="0"/>
        <w:jc w:val="both"/>
      </w:pPr>
      <w:r>
        <w:rPr>
          <w:rFonts w:ascii="Times New Roman"/>
          <w:b w:val="false"/>
          <w:i w:val="false"/>
          <w:color w:val="000000"/>
          <w:sz w:val="28"/>
        </w:rPr>
        <w:t>
      5) сыбайлас жемқорлыққа қарсы мәдениет деңгейін қалыптастыру;</w:t>
      </w:r>
    </w:p>
    <w:p>
      <w:pPr>
        <w:spacing w:after="0"/>
        <w:ind w:left="0"/>
        <w:jc w:val="both"/>
      </w:pPr>
      <w:r>
        <w:rPr>
          <w:rFonts w:ascii="Times New Roman"/>
          <w:b w:val="false"/>
          <w:i w:val="false"/>
          <w:color w:val="000000"/>
          <w:sz w:val="28"/>
        </w:rPr>
        <w:t>
      6) сыбайлас жемқорлыққа қарсы іс-қимыл мәселелері бойынша халықаралық ынтымақтастықты дамыту болып табылады.</w:t>
      </w:r>
    </w:p>
    <w:p>
      <w:pPr>
        <w:spacing w:after="0"/>
        <w:ind w:left="0"/>
        <w:jc w:val="both"/>
      </w:pPr>
      <w:r>
        <w:rPr>
          <w:rFonts w:ascii="Times New Roman"/>
          <w:b w:val="false"/>
          <w:i w:val="false"/>
          <w:color w:val="000000"/>
          <w:sz w:val="28"/>
        </w:rPr>
        <w:t>
      Осы бағыттар шеңберінде "Сыбайлас жемқорлыққа қарсы іс-қимыл туралы", "Қоғамдық бақылау туралы", "Жария ақпаратқа қолжетімділік туралы" жаңа заңдар әзірленіп, қабылданатын болады, олар "сыбайлас жемқорлық" ұғымын қайта қарауға және сыбайлас жемқорлық құқық бұзушылықтардың аражігін нақты ажыратуға, азаматтық бақылау жүйесін құруға және оны мемлекеттің тыныс-тіршілігіне енгізуге, азаматтардың жария ақпаратқа еркін қолжетімділігін қамтамасыз етуге мүмкіндік береді.</w:t>
      </w:r>
    </w:p>
    <w:p>
      <w:pPr>
        <w:spacing w:after="0"/>
        <w:ind w:left="0"/>
        <w:jc w:val="both"/>
      </w:pPr>
      <w:r>
        <w:rPr>
          <w:rFonts w:ascii="Times New Roman"/>
          <w:b w:val="false"/>
          <w:i w:val="false"/>
          <w:color w:val="000000"/>
          <w:sz w:val="28"/>
        </w:rPr>
        <w:t>
      Мемлекеттік қызметшілерге кірістерін ғана емес, сондай-ақ шығыстарын да декларациялау міндеті жүктелетін болады.</w:t>
      </w:r>
    </w:p>
    <w:p>
      <w:pPr>
        <w:spacing w:after="0"/>
        <w:ind w:left="0"/>
        <w:jc w:val="both"/>
      </w:pPr>
      <w:r>
        <w:rPr>
          <w:rFonts w:ascii="Times New Roman"/>
          <w:b w:val="false"/>
          <w:i w:val="false"/>
          <w:color w:val="000000"/>
          <w:sz w:val="28"/>
        </w:rPr>
        <w:t>
      Мемлекеттік сатып алу жүйесін одан әрі жаңғырту, мемлекеттік органдардың ғана емес, квазимемлекеттік және жекеше секторлардың халыққа қызмет көрсетуде барынша ашықтығын қамтамасыз ету бойынша жұмыстар жалғастырылатын болады.</w:t>
      </w:r>
    </w:p>
    <w:p>
      <w:pPr>
        <w:spacing w:after="0"/>
        <w:ind w:left="0"/>
        <w:jc w:val="both"/>
      </w:pPr>
      <w:r>
        <w:rPr>
          <w:rFonts w:ascii="Times New Roman"/>
          <w:b w:val="false"/>
          <w:i w:val="false"/>
          <w:color w:val="000000"/>
          <w:sz w:val="28"/>
        </w:rPr>
        <w:t>
      Сот төрелігін, заңдылық пен құқықтық тәртіпті қамтамасыз ету саласында сот төрелігіне еркін қолжетімділікті қамтамасыз ету, құқық қорғау органдарының кадр саясатына конкурстық іріктеудің тетіктерін және меритократия қағидаттарын енгізу бойынша кешенді шаралар көзделген.</w:t>
      </w:r>
    </w:p>
    <w:p>
      <w:pPr>
        <w:spacing w:after="0"/>
        <w:ind w:left="0"/>
        <w:jc w:val="both"/>
      </w:pPr>
      <w:r>
        <w:rPr>
          <w:rFonts w:ascii="Times New Roman"/>
          <w:b w:val="false"/>
          <w:i w:val="false"/>
          <w:color w:val="000000"/>
          <w:sz w:val="28"/>
        </w:rPr>
        <w:t>
      Бұл ретте аталған органдар қызметінің басымдықтары, оның ішінде сыбайлас жемқорлыққа қарсы іс-қимыл саласында қылмыстар мен құқық бұзушылықтардың профилактикасы мен олардың алдын алуға ауысатын болады.</w:t>
      </w:r>
    </w:p>
    <w:p>
      <w:pPr>
        <w:spacing w:after="0"/>
        <w:ind w:left="0"/>
        <w:jc w:val="both"/>
      </w:pPr>
      <w:r>
        <w:rPr>
          <w:rFonts w:ascii="Times New Roman"/>
          <w:b w:val="false"/>
          <w:i w:val="false"/>
          <w:color w:val="000000"/>
          <w:sz w:val="28"/>
        </w:rPr>
        <w:t>
      Сыбайлас жемқорлыққа қарсы мәдениет деңгейін қалыптастыру үшін оқу орындарында, мемлекеттік органдарда және халық арасында сыбайлас жемқорлыққа қарсы ауқымды оқыту курстарын өткізу және мемлекеттің сыбайлас жемқорлыққа қарсы қабылдаған шараларын жария етуге бұқаралық ақпарат құралдарын тарту жолымен жүзеге асыру ұсынылады.</w:t>
      </w:r>
    </w:p>
    <w:p>
      <w:pPr>
        <w:spacing w:after="0"/>
        <w:ind w:left="0"/>
        <w:jc w:val="both"/>
      </w:pPr>
      <w:r>
        <w:rPr>
          <w:rFonts w:ascii="Times New Roman"/>
          <w:b w:val="false"/>
          <w:i w:val="false"/>
          <w:color w:val="000000"/>
          <w:sz w:val="28"/>
        </w:rPr>
        <w:t>
      Халықаралық ынтымақтастықты дамыту – халықаралық қауымдастықпен ынтымақтастықты күшейту жолымен, оның ішінде сыбайлас жемқорлыққа қарсы түрлі іс-шаралар өткізу, беделді халықаралық ұйымдарға қатысу, сондай-ақ сыбайлас жемқорлыққа қарсы іс-қимылда халықаралық тәжірибенің үздік үлгілерін пайдалану арқылы жүзеге асырылады.</w:t>
      </w:r>
    </w:p>
    <w:p>
      <w:pPr>
        <w:spacing w:after="0"/>
        <w:ind w:left="0"/>
        <w:jc w:val="both"/>
      </w:pPr>
      <w:r>
        <w:rPr>
          <w:rFonts w:ascii="Times New Roman"/>
          <w:b w:val="false"/>
          <w:i w:val="false"/>
          <w:color w:val="000000"/>
          <w:sz w:val="28"/>
        </w:rPr>
        <w:t>
      Бұл ретте халықаралық ұсыныстар мен стандарттарды енгізу мемлекеттің оған деген дайындығын, қолданыстағы ұлттық құқықтың ерекшеліктері мен қолданыстағы қалыптасқан практикасын және қазіргі бар құқықтық институттардың әлеуеті мен мүмкіндіктерін ескере отырып кезең-кезеңімен жүзеге асырылатын болады.</w:t>
      </w:r>
    </w:p>
    <w:p>
      <w:pPr>
        <w:spacing w:after="0"/>
        <w:ind w:left="0"/>
        <w:jc w:val="both"/>
      </w:pPr>
      <w:r>
        <w:rPr>
          <w:rFonts w:ascii="Times New Roman"/>
          <w:b w:val="false"/>
          <w:i w:val="false"/>
          <w:color w:val="000000"/>
          <w:sz w:val="28"/>
        </w:rPr>
        <w:t>
      Стратегияда көзделген іс-шараларды іске асыру міндетті мониторингтеуге жатады, ол екі түрде – іс-шараларды тікелей орындаушы жүргізетін ішкі және арнайы құрылған мониторингтеу тобы жүзеге асыратын сыртқы болады, мұнда тиісті мемлекеттік органдардың, қоғамдастықтың және бұқаралық ақпарат құралдарының өкілдері кіреді.</w:t>
      </w:r>
    </w:p>
    <w:p>
      <w:pPr>
        <w:spacing w:after="0"/>
        <w:ind w:left="0"/>
        <w:jc w:val="both"/>
      </w:pPr>
      <w:r>
        <w:rPr>
          <w:rFonts w:ascii="Times New Roman"/>
          <w:b w:val="false"/>
          <w:i w:val="false"/>
          <w:color w:val="000000"/>
          <w:sz w:val="28"/>
        </w:rPr>
        <w:t>
      Стратегияның орындалуы туралы есеп халық назарына жеткізілетін болады.</w:t>
      </w:r>
    </w:p>
    <w:p>
      <w:pPr>
        <w:spacing w:after="0"/>
        <w:ind w:left="0"/>
        <w:jc w:val="both"/>
      </w:pPr>
      <w:r>
        <w:rPr>
          <w:rFonts w:ascii="Times New Roman"/>
          <w:b w:val="false"/>
          <w:i w:val="false"/>
          <w:color w:val="000000"/>
          <w:sz w:val="28"/>
        </w:rPr>
        <w:t>
      Стратегияның ережелерін кезең-кезеңімен іске асыру да Стратегияның қолданыс кезеңінде Президент Әкімшілігінің келісімімен Үкімет бекітетін Іс-шаралар жоспарында қамтамасыз етіледі.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r>
        <w:br/>
      </w:r>
      <w:r>
        <w:rPr>
          <w:rFonts w:ascii="Times New Roman"/>
          <w:b w:val="false"/>
          <w:i/>
          <w:color w:val="000000"/>
          <w:sz w:val="28"/>
        </w:rPr>
        <w:t>Президенті Әкімшілігінің</w:t>
      </w:r>
      <w:r>
        <w:br/>
      </w:r>
      <w:r>
        <w:rPr>
          <w:rFonts w:ascii="Times New Roman"/>
          <w:b w:val="false"/>
          <w:i/>
          <w:color w:val="000000"/>
          <w:sz w:val="28"/>
        </w:rPr>
        <w:t>Құқық қорғау жүйесі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