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c596" w14:textId="bf6c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пенитенциарлық жүйесі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26 шілдедегі № 129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пенитенциарлық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министрлігінің қылмыстық-атқару қызметі, оның ішінде қылмыс жасағаны үшін </w:t>
      </w:r>
      <w:r>
        <w:rPr>
          <w:rFonts w:ascii="Times New Roman"/>
          <w:b w:val="false"/>
          <w:i w:val="false"/>
          <w:color w:val="000000"/>
          <w:sz w:val="28"/>
        </w:rPr>
        <w:t>сезікті және айыпталушыларды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ұстау және тергеу изоляторларында жазасын өтеп жатқан сотталғандарға қатысты қылмыстық жазаны орындау саласындағы функциялары мен </w:t>
      </w:r>
      <w:r>
        <w:rPr>
          <w:rFonts w:ascii="Times New Roman"/>
          <w:b w:val="false"/>
          <w:i w:val="false"/>
          <w:color w:val="000000"/>
          <w:sz w:val="28"/>
        </w:rPr>
        <w:t>өкілеттіктерін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Ішкі істер министрлігіне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Ішкі істер министрлігінің Қылмыстық-атқару жүйесі комитетін </w:t>
      </w:r>
      <w:r>
        <w:rPr>
          <w:rFonts w:ascii="Times New Roman"/>
          <w:b w:val="false"/>
          <w:i w:val="false"/>
          <w:color w:val="000000"/>
          <w:sz w:val="28"/>
        </w:rPr>
        <w:t>құруды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Әділет министрлігінің Қылмыстық-атқару жүйесі комитетін таратуды;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Жарлықтың 1-тармағының 3) тармақшасында көрсетілген мемлекеттік органның штат санын Қазақстан Республикасы Ішкі Істер министрлігіне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Жарлықтан туындайтын заң жобаларын әзірлеуді және Қазақстан Республикасы Парламенті Мәжілісіне енгізуді;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осы Жарлықты іске асыру жөніндегі өзге де қажетті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