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c9fc" w14:textId="ceec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w:t>
      </w:r>
    </w:p>
    <w:p>
      <w:pPr>
        <w:spacing w:after="0"/>
        <w:ind w:left="0"/>
        <w:jc w:val="both"/>
      </w:pPr>
      <w:r>
        <w:rPr>
          <w:rFonts w:ascii="Times New Roman"/>
          <w:b w:val="false"/>
          <w:i w:val="false"/>
          <w:color w:val="000000"/>
          <w:sz w:val="28"/>
        </w:rPr>
        <w:t>Қазақстан Республикасы Президентінің 2013 жылғы 29 қазандағы № 677 Жарлығы</w:t>
      </w:r>
    </w:p>
    <w:p>
      <w:pPr>
        <w:spacing w:after="0"/>
        <w:ind w:left="0"/>
        <w:jc w:val="both"/>
      </w:pPr>
      <w:bookmarkStart w:name="z1" w:id="0"/>
      <w:r>
        <w:rPr>
          <w:rFonts w:ascii="Times New Roman"/>
          <w:b w:val="false"/>
          <w:i w:val="false"/>
          <w:color w:val="000000"/>
          <w:sz w:val="28"/>
        </w:rPr>
        <w:t>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 оған: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министрлігінен – жерді гидромелиорациялау мақсатында су пайдаланушыларға немесе олардың бірлестіктеріне дейін су жеткізу және бұру;</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министрлігінен – жерасты сулары бөлігінде жер қойнауын геологиялық зерделеуді қоспағанда, жерасты суларын ұтымды және кешендi пайдалану саласындағы мемлекеттік саясатты қалыптастыру және іске асыру жөніндегі функциялар мен өкiлеттiктер беріле отырып, қайта құру жолымен Қазақстан Республикасы Қоршаған орта және су ресурстары министрлігі етiп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«Қазақстан Республикасының Қоршаған ортаны қорғау министрлігі;»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Қоршаған орта және су ресурстары министрлігі;».</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осы Жарлықты іске асыру жөніндегі қажетті шараларды қабылдасын.</w:t>
      </w:r>
      <w:r>
        <w:br/>
      </w:r>
      <w:r>
        <w:rPr>
          <w:rFonts w:ascii="Times New Roman"/>
          <w:b w:val="false"/>
          <w:i w:val="false"/>
          <w:color w:val="000000"/>
          <w:sz w:val="28"/>
        </w:rPr>
        <w:t>
</w:t>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5.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