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ae17" w14:textId="c78a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іздестіру іс-шараларын жүргізу үшін тауарларды арнайы техникалық құралдарға жатқызу тұрғысынан техникалық зерттеу жүргізу" және "Тауарларды ақпаратты криптографиялық қорғау құралдарына жатқызу тұрғысынан техникалық зерттеу жүргізу" мемлекеттік қызмет көрсетулер стандарттарын бекіту туралы" Қазақстан Республикасы Президентінің 2011 жылғы 5 шілдедегі № 116 Жарлығының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2014 жылғы 27 мамырдағы № 829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"Жедел іздестіру іс-шараларын жүргізу үшін тауарларды арнайы техникалық құралдарға жатқызу тұрғысынан техникалық зерттеу жүргізу" және "Тауарларды ақпаратты криптографиялық қорғау құралдарына жатқызу тұрғысынан техникалық зерттеу жүргізу" мемлекеттік қызмет көрсетулер стандарттарын бекіту туралы" Қазақстан Республикасы Президентінің 2011 жылғы 5 шілдедегі № 116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2011 ж., N 45, 594-құжат)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