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ad3d" w14:textId="3a6a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бақылау және қадағалау функцияларын реттеу туралы" Қазақстан Республикасы Президентiнiң 1999 жылғы 7 қыркүйектегі № 205 Жарлығына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9 қазандағы № 183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ҚАУЛЫ ЕТЕМIН: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бақылау және қадағалау функцияларын реттеу туралы" Қазақстан Республикасы Президентінің 1999 жылғы 7 қыркүйектегі № 205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енгiзiлсiн: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3-1-тармақпен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Осы Жарлықтың қолданысы "Қазақстан Республикасының әуе кеңістігін пайдалану және авиация қызметі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ерекшеліктерді ескере отырып, азаматтық және эксперименттік авиация қызметін мемлекеттік бақылау мен қадағалауды жүзеге асыруға қолданылмайды.".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