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a1e9" w14:textId="3f1a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11 мамырдағы № 214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Қазақстан Республикасының атынан қол қойылсын.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11 мамырдағы</w:t>
            </w:r>
            <w:r>
              <w:br/>
            </w:r>
            <w:r>
              <w:rPr>
                <w:rFonts w:ascii="Times New Roman"/>
                <w:b w:val="false"/>
                <w:i w:val="false"/>
                <w:color w:val="000000"/>
                <w:sz w:val="20"/>
              </w:rPr>
              <w:t>№ 214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w:t>
      </w:r>
    </w:p>
    <w:bookmarkEnd w:id="4"/>
    <w:bookmarkStart w:name="z11"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12"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p>
      <w:pPr>
        <w:spacing w:after="0"/>
        <w:ind w:left="0"/>
        <w:jc w:val="both"/>
      </w:pPr>
      <w:r>
        <w:rPr>
          <w:rFonts w:ascii="Times New Roman"/>
          <w:b w:val="false"/>
          <w:i w:val="false"/>
          <w:color w:val="000000"/>
          <w:sz w:val="28"/>
        </w:rPr>
        <w:t xml:space="preserve">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"Осы Хаттама жер қойнауын пайдалану саласындағы келісімшарттар шеңберінде, оның ішінде кедендік әкелу баждарынан босату және (немесе) оларды өтеу көзделген, Қазақстан Республикасы 2010 жылғы 1 шілдеге дейін жасасқан өнімді бөлу туралы келісімдер бойынша тауарларды әкелуге байланысты құқықтық қатынастарға қолданылмайды.".</w:t>
      </w:r>
    </w:p>
    <w:bookmarkStart w:name="z15"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Осы Хаттама депозитарий мүше мемлекеттердің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 және 2014 жылғы 1 қарашадан бастап туындаған құқықтық қатынастарға қолданылады.</w:t>
      </w:r>
    </w:p>
    <w:p>
      <w:pPr>
        <w:spacing w:after="0"/>
        <w:ind w:left="0"/>
        <w:jc w:val="both"/>
      </w:pPr>
      <w:r>
        <w:rPr>
          <w:rFonts w:ascii="Times New Roman"/>
          <w:b w:val="false"/>
          <w:i w:val="false"/>
          <w:color w:val="000000"/>
          <w:sz w:val="28"/>
        </w:rPr>
        <w:t>
      20___ "___"__________ ____________қаласында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осы Хаттаманың депозитарийі бола отырып, әрбір мүше мемлекетке оның куәландырылған көшірмесін жіберетін Еуразиялық экономикалық комиссияда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