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2f97" w14:textId="8ff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агенттiгi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бұйрығына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министрлігі Инвестициялар жөніндегі комитетінің 2001 жылғы 18 қараша N 127/1-П бұйрығы. Қазақстан Республикасы Әділет министрлігінде 2001 жылғы 14 желтоқсанда тіркелді. Тіркеу N 1701.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1997 жылғы 5 сәуiрдегi N 3444 "Отандық және шетелдiк тiкелей инвестицияларды тарту үшiн Қазақстан Республикасында экономиканың басым секторларының тiзбесiн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 тармағына сәйкес және Қазақстан Республикасы Президентiнiң 2000 жылғы 6 наурыздағы N 349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Ережесiнiң 2 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жөнiндегi агенттiгi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келесi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бекiтiлген, 2002 жылға дейiнгi мерзiмге отандық және шетелдiк тiкелей инвестицияларды тарту үшiн маңызды өндiрiстер тiзiмiндегi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тарауды "Өңдеушi өнеркәсiп" "Ауылшаруашылық өнiмдi өнеркәсiптiк қайта өңдеу" жолынан кейiн келесi мазмұндағы "Крахмал және крахмал өнiмдерi өндiрiсi" жолмен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Әдiлет министрлiгiнде мемлекеттiк тiркеу күннен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Төрағаның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