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c039" w14:textId="306c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қаласының жерлерін аймақтау схемасы мен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2002 жылғы 19 желтоқсандағы N С-22-6 шешімі. Ақмола облысының Әділет басқармасында 2003 жылғы 20 қаңтарда N 1508 тіркелді. Күші жойылды - Ақмола облыстық мәслихатының 2014 жылғы 26 қыркүйектегі № 5С-30-6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облыстық мәслихатының 26.09.2014 </w:t>
      </w:r>
      <w:r>
        <w:rPr>
          <w:rFonts w:ascii="Times New Roman"/>
          <w:b w:val="false"/>
          <w:i w:val="false"/>
          <w:color w:val="ff0000"/>
          <w:sz w:val="28"/>
        </w:rPr>
        <w:t>№ 5С-30-6</w:t>
      </w:r>
      <w:r>
        <w:rPr>
          <w:rFonts w:ascii="Times New Roman"/>
          <w:b w:val="false"/>
          <w:i w:val="false"/>
          <w:color w:val="ff0000"/>
          <w:sz w:val="28"/>
        </w:rPr>
        <w:t> 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туралы"»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бабына, Қазақстан Республикасының Жер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11 бабының 1 тармағымен және Қазақстан Республикасы Үкіметінің 1997 жылғы 10 қазандағы Қазақстан Республикасы жерлерін аймақтаудың негізгі ережелері мен қағидаларын бекіту туралы"»N 1435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жер ресурстарын  басқару жөніндегі комитеті ұсынған Көкшетау қаласының жерлерін аймақтау материалдарының, Көкшетау қалалық мәслихатының  2002 жылғы 20 тамыздағы жиырма тоғызыншы сессиясында қаралып, құпталған N С 29/6 шешiмi мен Ақмола облысы әкімдігінің 2002 жылғы 14 желтоқсандағы N№1-46-6/1576 ұсынысы негізінде облыстық мәслихат 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қаласының жерлерін аймақтау схемасы және жер учаскелерiнiң құны мен жер салығын есептеу үшiн түзету коэффициенттері (қосымша 1, 2, 3)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жүзеге асырылуын бақылау облыстық мәслихаттың аграрлық мәселелер, өнеркәсіпті дамыту, көлік, байланыс, құрылыс, кәсіпкерлік, азық-түлік және экология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Шешім Ақмола облыстық әділет басқармасында тіркеуден өткен күннен бастап күшіне енеді.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Өзгерту енгізілді - Ақмола облыстық мәслихатының 2005 жылғы 30 мамырдағы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3С-12-27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хатшысының міндетін атқарушы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Қосымша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ж.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С-22-6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Көкшетау қаласы бойынша жер участкелерінің құнын </w:t>
      </w:r>
      <w:r>
        <w:br/>
      </w:r>
      <w:r>
        <w:rPr>
          <w:rFonts w:ascii="Times New Roman"/>
          <w:b/>
          <w:i w:val="false"/>
          <w:color w:val="000000"/>
        </w:rPr>
        <w:t xml:space="preserve">
анықтау үшін жерлерді зоналау. </w:t>
      </w:r>
      <w:r>
        <w:br/>
      </w:r>
      <w:r>
        <w:rPr>
          <w:rFonts w:ascii="Times New Roman"/>
          <w:b/>
          <w:i w:val="false"/>
          <w:color w:val="000000"/>
        </w:rPr>
        <w:t xml:space="preserve">
Көкшетау қаласының схемасы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(Қағаз тасымалында)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Қосымша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ж.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С-22-6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Жер учаскелерінің құнын есептеу үшін түзету коэффициенттері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853"/>
        <w:gridCol w:w="893"/>
        <w:gridCol w:w="873"/>
        <w:gridCol w:w="953"/>
        <w:gridCol w:w="1073"/>
        <w:gridCol w:w="1393"/>
        <w:gridCol w:w="1193"/>
        <w:gridCol w:w="1273"/>
        <w:gridCol w:w="1573"/>
        <w:gridCol w:w="133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 №N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қатынасы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ғам-дық кө- лік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лды 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 және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1.77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1.69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0.97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0.87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Көк- шетау-2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Крас-ный Яр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0.99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Крас-ное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Чай- кино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0.94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Қосымша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 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ж.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С-22-6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Жер салығын есептеу үшін түзету коэффициенттері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773"/>
        <w:gridCol w:w="853"/>
        <w:gridCol w:w="853"/>
        <w:gridCol w:w="893"/>
        <w:gridCol w:w="1013"/>
        <w:gridCol w:w="1413"/>
        <w:gridCol w:w="1173"/>
        <w:gridCol w:w="1273"/>
        <w:gridCol w:w="1453"/>
        <w:gridCol w:w="147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 №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Кө-лік қатынасы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ғам-дық кө- лік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лды 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 және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Жердегі су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фициент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1.47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1.41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1.36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1.30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1.24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1.06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1.04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0.91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0.86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0.77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Көк- шетау 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0.83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Яр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0.75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0.55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Чай- кино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0.67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1.44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II-п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1.38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III-п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1.30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IV-п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V-п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