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1349" w14:textId="e521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1330 тіркелген
Қазақстан Республикасының Бағалы қағаздар жөніндегі ұлттық комиссиясының "Зейнетақы активтерін инвестициялық басқаруды жүзеге асыратын ұйымдарға арналған пруденциалдық нормативтер туралы ережені бекіту жөнінде" 2000 жылғы 15 қарашадағы N 87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26 желтоқсандағы N 487 қаулысы. Қазақстан Республикасының Әділет министрлігінде 2003 жылғы 31 желтоқсанда тіркелді. Тіркеу N 2666. Қаулының күші жойылды - ҚР Қаржы нарығын және қаржы ұйымдарын реттеу мен қадағалау агенттігі Басқармасының 2005 жылғы 26 қарашадағы N 412 қаулысымен (қолданысқа енгізілу тәртібін  2-тармақтан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26 қарашадағы N 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Зейнетақы активтерін инвестициялық басқару жөніндегі қызметті жүзеге асыратын ұйымдардың қызметін реттеуді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Бағалы қағаздар жөніндегі ұлттық комиссиясының "Зейнетақы активтерін инвестициялық басқаруды жүзеге асыратын ұйымдарға арналған пруденциалдық нормативтер туралы ережені бекіту жөнінде" 2000 жылғы 15 қарашадағы N 87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1330 тіркелген, "Қазақстанның бағалы қағаздар рыногы" журналында 2001 жылғы қаңтарда жарияланған, N 1, Қазақстан Республикасының нормативтік құқықтық актілерін Мемлекеттік тіркеу тізілімінде N 1690 тіркелген Қазақстан Республикасының Ұлттық Банкі Басқармасының 2001 жылғы 16 қарашадағы N 434 
</w:t>
      </w:r>
      <w:r>
        <w:rPr>
          <w:rFonts w:ascii="Times New Roman"/>
          <w:b w:val="false"/>
          <w:i w:val="false"/>
          <w:color w:val="000000"/>
          <w:sz w:val="28"/>
        </w:rPr>
        <w:t xml:space="preserve"> қаулысымен </w:t>
      </w:r>
      <w:r>
        <w:rPr>
          <w:rFonts w:ascii="Times New Roman"/>
          <w:b w:val="false"/>
          <w:i w:val="false"/>
          <w:color w:val="000000"/>
          <w:sz w:val="28"/>
        </w:rPr>
        <w:t>
, Қазақстан Республикасының нормативтік құқықтық актілерін Мемлекеттік тіркеу тізілімінде N 2334 тіркелген Қазақстан Республикасының Ұлттық Банкі Басқармасының 2003 жылғы 21 сәуірдегі N 134 
</w:t>
      </w:r>
      <w:r>
        <w:rPr>
          <w:rFonts w:ascii="Times New Roman"/>
          <w:b w:val="false"/>
          <w:i w:val="false"/>
          <w:color w:val="000000"/>
          <w:sz w:val="28"/>
        </w:rPr>
        <w:t xml:space="preserve"> қаулысымен </w:t>
      </w:r>
      <w:r>
        <w:rPr>
          <w:rFonts w:ascii="Times New Roman"/>
          <w:b w:val="false"/>
          <w:i w:val="false"/>
          <w:color w:val="000000"/>
          <w:sz w:val="28"/>
        </w:rPr>
        <w:t>
, Қазақстан Республикасының нормативтік құқықтық актілерін Мемлекеттік тіркеу тізілімінде N 2472 тіркелген Қазақстан Республикасының Ұлттық Банкі Басқармасының 2003 жылғы 4 тамыздағы N 284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өзгерістерімен және толықтыруларымен) мынадай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 мынадай мазмұндағы абзацтармен толықтырылсын:
</w:t>
      </w:r>
      <w:r>
        <w:br/>
      </w:r>
      <w:r>
        <w:rPr>
          <w:rFonts w:ascii="Times New Roman"/>
          <w:b w:val="false"/>
          <w:i w:val="false"/>
          <w:color w:val="000000"/>
          <w:sz w:val="28"/>
        </w:rPr>
        <w:t>
      "Осы Ереженің 26-тармағы 1) тармақшасының төртінші абзацында белгіленген норма қаржылық агенттіктің бағалы қағаздарына қолданылмайды.
</w:t>
      </w:r>
      <w:r>
        <w:br/>
      </w:r>
      <w:r>
        <w:rPr>
          <w:rFonts w:ascii="Times New Roman"/>
          <w:b w:val="false"/>
          <w:i w:val="false"/>
          <w:color w:val="000000"/>
          <w:sz w:val="28"/>
        </w:rPr>
        <w:t>
      Осы Ереженің 26-тармағы 2) тармақшасының төртінші абзацында белгіленген норма осы эмитенттің меншікті капиталының мөлшерінен инвестициялау мөлшерін шектеу бөлігінде қаржылық агенттіктің облигацияларына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барлық мүдделі бөлімшелеріне, бағалы қағаздар рыногында трансфер-агенттік қызметті жүзеге асыратын ұйымдарға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бұқаралық ақпарат құралдарында жариялауды қамтамасыз ететін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Ә.Ғ. Сәйденовке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